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gdpr-compliance-memo"/>
      <w:r>
        <w:t xml:space="preserve">écentic — GDPR Compliance Memo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For:</w:t>
      </w:r>
      <w:r>
        <w:t xml:space="preserve"> </w:t>
      </w:r>
      <w:r>
        <w:t xml:space="preserve">Investor / Enterprise diligence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EU General Data Protection Regulation (Regulation (EU) 2016/679) + Albanian Law No. 9887</w:t>
      </w:r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écentic operates as a</w:t>
      </w:r>
      <w:r>
        <w:t xml:space="preserve"> </w:t>
      </w:r>
      <w:r>
        <w:rPr>
          <w:b/>
        </w:rPr>
        <w:t xml:space="preserve">data processor</w:t>
      </w:r>
      <w:r>
        <w:t xml:space="preserve"> </w:t>
      </w:r>
      <w:r>
        <w:t xml:space="preserve">for our merchant customers’ data, and as a</w:t>
      </w:r>
      <w:r>
        <w:t xml:space="preserve"> </w:t>
      </w:r>
      <w:r>
        <w:rPr>
          <w:b/>
        </w:rPr>
        <w:t xml:space="preserve">data controller</w:t>
      </w:r>
      <w:r>
        <w:t xml:space="preserve"> </w:t>
      </w:r>
      <w:r>
        <w:t xml:space="preserve">for our own user data (account holders, marketing contacts, support correspondents). Our compliance posture is built around three principles: minimum data collection, transparent processing, and merchant control.</w:t>
      </w:r>
    </w:p>
    <w:p>
      <w:pPr>
        <w:pStyle w:val="Heading2"/>
      </w:pPr>
      <w:bookmarkStart w:id="22" w:name="data-flows-in-the-product"/>
      <w:r>
        <w:t xml:space="preserve">Data flows in the product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Controller / Processor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Merchant signs up</w:t>
            </w:r>
          </w:p>
        </w:tc>
        <w:tc>
          <w:p>
            <w:pPr>
              <w:pStyle w:val="Compact"/>
              <w:jc w:val="left"/>
            </w:pPr>
            <w:r>
              <w:t xml:space="preserve">Web form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Personal data (account holder)</w:t>
            </w:r>
          </w:p>
        </w:tc>
        <w:tc>
          <w:p>
            <w:pPr>
              <w:pStyle w:val="Compact"/>
              <w:jc w:val="left"/>
            </w:pPr>
            <w:r>
              <w:t xml:space="preserve">écentic =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 connects via OAuth</w:t>
            </w:r>
          </w:p>
        </w:tc>
        <w:tc>
          <w:p>
            <w:pPr>
              <w:pStyle w:val="Compact"/>
              <w:jc w:val="left"/>
            </w:pPr>
            <w:r>
              <w:t xml:space="preserve">Merchant’s Shopify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Mixed: account holder + store metadata</w:t>
            </w:r>
          </w:p>
        </w:tc>
        <w:tc>
          <w:p>
            <w:pPr>
              <w:pStyle w:val="Compact"/>
              <w:jc w:val="left"/>
            </w:pPr>
            <w:r>
              <w:t xml:space="preserve">écentic = controller for account data; processor for store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 sync</w:t>
            </w:r>
          </w:p>
        </w:tc>
        <w:tc>
          <w:p>
            <w:pPr>
              <w:pStyle w:val="Compact"/>
              <w:jc w:val="left"/>
            </w:pPr>
            <w:r>
              <w:t xml:space="preserve">Merchant’s store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Business data (product info — not personal)</w:t>
            </w:r>
          </w:p>
        </w:tc>
        <w:tc>
          <w:p>
            <w:pPr>
              <w:pStyle w:val="Compact"/>
              <w:jc w:val="left"/>
            </w:pPr>
            <w:r>
              <w:t xml:space="preserve">écentic = processor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traffic beacon fires</w:t>
            </w:r>
          </w:p>
        </w:tc>
        <w:tc>
          <w:p>
            <w:pPr>
              <w:pStyle w:val="Compact"/>
              <w:jc w:val="left"/>
            </w:pPr>
            <w:r>
              <w:t xml:space="preserve">End-shopper’s browser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Anonymized request metadata (not personal data of the shopper)</w:t>
            </w:r>
          </w:p>
        </w:tc>
        <w:tc>
          <w:p>
            <w:pPr>
              <w:pStyle w:val="Compact"/>
              <w:jc w:val="left"/>
            </w:pPr>
            <w:r>
              <w:t xml:space="preserve">écentic = processor on behalf of merchant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Simulation runs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AI provider APIs (Azure, OpenAI, Anthropic, Google, Perplexity)</w:t>
            </w:r>
          </w:p>
        </w:tc>
        <w:tc>
          <w:p>
            <w:pPr>
              <w:pStyle w:val="Compact"/>
              <w:jc w:val="left"/>
            </w:pPr>
            <w:r>
              <w:t xml:space="preserve">Catalog content + competitor URLs</w:t>
            </w:r>
          </w:p>
        </w:tc>
        <w:tc>
          <w:p>
            <w:pPr>
              <w:pStyle w:val="Compact"/>
              <w:jc w:val="left"/>
            </w:pPr>
            <w:r>
              <w:t xml:space="preserve">écentic = processor (sub-processed to AI providers)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Optimized listing publishes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Merchant’s store</w:t>
            </w:r>
          </w:p>
        </w:tc>
        <w:tc>
          <w:p>
            <w:pPr>
              <w:pStyle w:val="Compact"/>
              <w:jc w:val="left"/>
            </w:pPr>
            <w:r>
              <w:t xml:space="preserve">Generated listing content</w:t>
            </w:r>
          </w:p>
        </w:tc>
        <w:tc>
          <w:p>
            <w:pPr>
              <w:pStyle w:val="Compact"/>
              <w:jc w:val="left"/>
            </w:pPr>
            <w:r>
              <w:t xml:space="preserve">écentic = processor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Win-rate dashboard renders</w:t>
            </w:r>
          </w:p>
        </w:tc>
        <w:tc>
          <w:p>
            <w:pPr>
              <w:pStyle w:val="Compact"/>
              <w:jc w:val="left"/>
            </w:pPr>
            <w:r>
              <w:t xml:space="preserve">écentic DB</w:t>
            </w:r>
          </w:p>
        </w:tc>
        <w:tc>
          <w:p>
            <w:pPr>
              <w:pStyle w:val="Compact"/>
              <w:jc w:val="left"/>
            </w:pPr>
            <w:r>
              <w:t xml:space="preserve">Merchant’s browser</w:t>
            </w:r>
          </w:p>
        </w:tc>
        <w:tc>
          <w:p>
            <w:pPr>
              <w:pStyle w:val="Compact"/>
              <w:jc w:val="left"/>
            </w:pPr>
            <w:r>
              <w:t xml:space="preserve">Account holder + aggregated business data</w:t>
            </w:r>
          </w:p>
        </w:tc>
        <w:tc>
          <w:p>
            <w:pPr>
              <w:pStyle w:val="Compact"/>
              <w:jc w:val="left"/>
            </w:pPr>
            <w:r>
              <w:t xml:space="preserve">écentic = controller for the account holder UX; processor for the store data shown</w:t>
            </w:r>
          </w:p>
        </w:tc>
      </w:tr>
    </w:tbl>
    <w:p>
      <w:pPr>
        <w:pStyle w:val="Heading2"/>
      </w:pPr>
      <w:bookmarkStart w:id="23" w:name="roles-defined"/>
      <w:r>
        <w:t xml:space="preserve">Roles defined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 controller (Art. 4(7) GDPR):</w:t>
      </w:r>
      <w:r>
        <w:t xml:space="preserve"> </w:t>
      </w:r>
      <w:r>
        <w:t xml:space="preserve">écentic shpk, for our user accounts, marketing contacts, support records.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 processor (Art. 4(8) GDPR):</w:t>
      </w:r>
      <w:r>
        <w:t xml:space="preserve"> </w:t>
      </w:r>
      <w:r>
        <w:t xml:space="preserve">écentic shpk, for the merchant’s store and catalog data we process on their behalf.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Joint controllership (Art. 26):</w:t>
      </w:r>
      <w:r>
        <w:t xml:space="preserve"> </w:t>
      </w:r>
      <w:r>
        <w:t xml:space="preserve">Not applicable. Our position is unambiguous controller-vs-processor depending on the data category.</w:t>
      </w:r>
    </w:p>
    <w:p>
      <w:pPr>
        <w:pStyle w:val="Heading2"/>
      </w:pPr>
      <w:bookmarkStart w:id="24" w:name="lawful-bases-art.-6-we-rely-on"/>
      <w:r>
        <w:t xml:space="preserve">Lawful bases (Art. 6) we rely on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Lawful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Operate the service for a paying merchant</w:t>
            </w:r>
          </w:p>
        </w:tc>
        <w:tc>
          <w:p>
            <w:pPr>
              <w:pStyle w:val="Compact"/>
              <w:jc w:val="left"/>
            </w:pPr>
            <w:r>
              <w:t xml:space="preserve">Contract (Art. 6(1)(b))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 the merchant</w:t>
            </w:r>
          </w:p>
        </w:tc>
        <w:tc>
          <w:p>
            <w:pPr>
              <w:pStyle w:val="Compact"/>
              <w:jc w:val="left"/>
            </w:pPr>
            <w:r>
              <w:t xml:space="preserve">Contract + Legal obligation (Art. 6(1)(b) + (c))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Aggregate anonymized industry benchmarks</w:t>
            </w:r>
          </w:p>
        </w:tc>
        <w:tc>
          <w:p>
            <w:pPr>
              <w:pStyle w:val="Compact"/>
              <w:jc w:val="left"/>
            </w:pPr>
            <w:r>
              <w:t xml:space="preserve">Legitimate interest (Art. 6(1)(f)), with the necessary balancing test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emails</w:t>
            </w:r>
          </w:p>
        </w:tc>
        <w:tc>
          <w:p>
            <w:pPr>
              <w:pStyle w:val="Compact"/>
              <w:jc w:val="left"/>
            </w:pPr>
            <w:r>
              <w:t xml:space="preserve">Consent (Art. 6(1)(a)), opt-in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 fraud / abuse</w:t>
            </w:r>
          </w:p>
        </w:tc>
        <w:tc>
          <w:p>
            <w:pPr>
              <w:pStyle w:val="Compact"/>
              <w:jc w:val="left"/>
            </w:pPr>
            <w:r>
              <w:t xml:space="preserve">Legitimate interest</w:t>
            </w:r>
          </w:p>
        </w:tc>
      </w:tr>
    </w:tbl>
    <w:p>
      <w:pPr>
        <w:pStyle w:val="BodyText"/>
      </w:pPr>
      <w:r>
        <w:t xml:space="preserve">We do not process special categories of data (Art. 9) and do not perform automated decision-making producing legal effects (Art. 22).</w:t>
      </w:r>
    </w:p>
    <w:p>
      <w:pPr>
        <w:pStyle w:val="Heading2"/>
      </w:pPr>
      <w:bookmarkStart w:id="25" w:name="sub-processors"/>
      <w:r>
        <w:t xml:space="preserve">Sub-processors</w:t>
      </w:r>
      <w:bookmarkEnd w:id="25"/>
    </w:p>
    <w:p>
      <w:pPr>
        <w:pStyle w:val="FirstParagraph"/>
      </w:pPr>
      <w:r>
        <w:t xml:space="preserve">A current sub-processor register is maintained and available to customers on request. Material sub-processors include: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Sub-processor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Transfer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US + EU regions</w:t>
            </w:r>
          </w:p>
        </w:tc>
        <w:tc>
          <w:p>
            <w:pPr>
              <w:pStyle w:val="Compact"/>
              <w:jc w:val="left"/>
            </w:pPr>
            <w:r>
              <w:t xml:space="preserve">Application hosting</w:t>
            </w:r>
          </w:p>
        </w:tc>
        <w:tc>
          <w:p>
            <w:pPr>
              <w:pStyle w:val="Compact"/>
              <w:jc w:val="left"/>
            </w:pPr>
            <w:r>
              <w:t xml:space="preserve">EU region selectable; SCCs in place for US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Managed PostgreSQL (EU region)</w:t>
            </w:r>
          </w:p>
        </w:tc>
        <w:tc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 transfer outside EEA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Azure AI Studio</w:t>
            </w:r>
          </w:p>
        </w:tc>
        <w:tc>
          <w:p>
            <w:pPr>
              <w:pStyle w:val="Compact"/>
              <w:jc w:val="left"/>
            </w:pPr>
            <w:r>
              <w:t xml:space="preserve">EU and US regions</w:t>
            </w:r>
          </w:p>
        </w:tc>
        <w:tc>
          <w:p>
            <w:pPr>
              <w:pStyle w:val="Compact"/>
              <w:jc w:val="left"/>
            </w:pPr>
            <w:r>
              <w:t xml:space="preserve">Production LLM gateway</w:t>
            </w:r>
          </w:p>
        </w:tc>
        <w:tc>
          <w:p>
            <w:pPr>
              <w:pStyle w:val="Compact"/>
              <w:jc w:val="left"/>
            </w:pPr>
            <w:r>
              <w:t xml:space="preserve">SCCs in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SCCs; OpenAI’s enterprise terms confirm no training on customer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SCCs; Anthropic’s enterprise terms confirm no training on customer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Vertex AI</w:t>
            </w:r>
          </w:p>
        </w:tc>
        <w:tc>
          <w:p>
            <w:pPr>
              <w:pStyle w:val="Compact"/>
              <w:jc w:val="left"/>
            </w:pPr>
            <w:r>
              <w:t xml:space="preserve">EU + US regions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Perplexity API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LLM API for simulation</w:t>
            </w:r>
          </w:p>
        </w:tc>
        <w:tc>
          <w:p>
            <w:pPr>
              <w:pStyle w:val="Compact"/>
              <w:jc w:val="left"/>
            </w:pPr>
            <w:r>
              <w:t xml:space="preserve">SCCs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email</w:t>
            </w:r>
          </w:p>
        </w:tc>
        <w:tc>
          <w:p>
            <w:pPr>
              <w:pStyle w:val="Compact"/>
              <w:jc w:val="left"/>
            </w:pPr>
            <w:r>
              <w:t xml:space="preserve">SCCs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UploadThing</w:t>
            </w:r>
          </w:p>
        </w:tc>
        <w:tc>
          <w:p>
            <w:pPr>
              <w:pStyle w:val="Compact"/>
              <w:jc w:val="left"/>
            </w:pPr>
            <w:r>
              <w:t xml:space="preserve">US + EU</w:t>
            </w:r>
          </w:p>
        </w:tc>
        <w:tc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EU region selectable; SCCs for 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p>
            <w:pPr>
              <w:pStyle w:val="Compact"/>
              <w:jc w:val="left"/>
            </w:pPr>
            <w:r>
              <w:t xml:space="preserve">EU region</w:t>
            </w:r>
          </w:p>
        </w:tc>
        <w:tc>
          <w:p>
            <w:pPr>
              <w:pStyle w:val="Compact"/>
              <w:jc w:val="left"/>
            </w:pPr>
            <w:r>
              <w:t xml:space="preserve">Error tracking</w:t>
            </w:r>
          </w:p>
        </w:tc>
        <w:tc>
          <w:p>
            <w:pPr>
              <w:pStyle w:val="Compact"/>
              <w:jc w:val="left"/>
            </w:pPr>
            <w:r>
              <w:t xml:space="preserve">EU region used 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PostHog</w:t>
            </w:r>
          </w:p>
        </w:tc>
        <w:tc>
          <w:p>
            <w:pPr>
              <w:pStyle w:val="Compact"/>
              <w:jc w:val="left"/>
            </w:pPr>
            <w:r>
              <w:t xml:space="preserve">EU region</w:t>
            </w:r>
          </w:p>
        </w:tc>
        <w:tc>
          <w:p>
            <w:pPr>
              <w:pStyle w:val="Compact"/>
              <w:jc w:val="left"/>
            </w:pPr>
            <w:r>
              <w:t xml:space="preserve">Product analytics</w:t>
            </w:r>
          </w:p>
        </w:tc>
        <w:tc>
          <w:p>
            <w:pPr>
              <w:pStyle w:val="Compact"/>
              <w:jc w:val="left"/>
            </w:pPr>
            <w:r>
              <w:t xml:space="preserve">EU region used by default; cookie consent enforced</w:t>
            </w:r>
          </w:p>
        </w:tc>
      </w:tr>
    </w:tbl>
    <w:p>
      <w:pPr>
        <w:pStyle w:val="BodyText"/>
      </w:pPr>
      <w:r>
        <w:t xml:space="preserve">Any new sub-processor is added to the register, customers are notified 30 days in advance, and customers may object during that period.</w:t>
      </w:r>
    </w:p>
    <w:p>
      <w:pPr>
        <w:pStyle w:val="Heading2"/>
      </w:pPr>
      <w:bookmarkStart w:id="26" w:name="X55a6d0e9c32bdee968d5d4f5862fd3fbb3fc5bf"/>
      <w:r>
        <w:t xml:space="preserve">Data subject rights — operational implementation</w:t>
      </w:r>
      <w:bookmarkEnd w:id="26"/>
    </w:p>
    <w:p>
      <w:pPr>
        <w:pStyle w:val="FirstParagraph"/>
      </w:pPr>
      <w:r>
        <w:t xml:space="preserve">We have implemented engineering processes to respond to data-subject requests within the 30-day GDPR deadline: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Access / portability:</w:t>
      </w:r>
      <w:r>
        <w:t xml:space="preserve"> </w:t>
      </w:r>
      <w:r>
        <w:t xml:space="preserve">Admin tool exports all personal data tied to a user account in JSON within 7 days.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Rectification:</w:t>
      </w:r>
      <w:r>
        <w:t xml:space="preserve"> </w:t>
      </w:r>
      <w:r>
        <w:t xml:space="preserve">Self-service via the account settings UI for most fields; admin-assisted otherwise.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Erasure:</w:t>
      </w:r>
      <w:r>
        <w:t xml:space="preserve"> </w:t>
      </w:r>
      <w:r>
        <w:t xml:space="preserve">Admin tool deletes a user account and all linked personal data. Aggregated and anonymized benchmark data is retained (not personal data after anonymization).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Restriction / objection:</w:t>
      </w:r>
      <w:r>
        <w:t xml:space="preserve"> </w:t>
      </w:r>
      <w:r>
        <w:t xml:space="preserve">Manual workflow; engineering ticket triggered to restrict processing for the requesting subject.</w:t>
      </w:r>
    </w:p>
    <w:p>
      <w:pPr>
        <w:pStyle w:val="Heading2"/>
      </w:pPr>
      <w:bookmarkStart w:id="27" w:name="cross-border-transfer-mechanism"/>
      <w:r>
        <w:t xml:space="preserve">Cross-border transfer mechanism</w:t>
      </w:r>
      <w:bookmarkEnd w:id="27"/>
    </w:p>
    <w:p>
      <w:pPr>
        <w:pStyle w:val="FirstParagraph"/>
      </w:pPr>
      <w:r>
        <w:t xml:space="preserve">For US-hosted sub-processors (Vercel default deployment, OpenAI, Anthropic, Resend, UploadThing), we rely on the European Commission’s Standard Contractual Clauses (Module 2 — controller to processor) plus the supplementary measures recommended by the EDPB (encryption in transit and at rest, pseudonymisation where feasible, contractual restrictions on government data requests).</w:t>
      </w:r>
    </w:p>
    <w:p>
      <w:pPr>
        <w:pStyle w:val="BodyText"/>
      </w:pPr>
      <w:r>
        <w:t xml:space="preserve">We have selected EU regions wherever available (Vercel, PostgreSQL host, UploadThing, Sentry, PostHog) to minimize transfer surface.</w:t>
      </w:r>
    </w:p>
    <w:p>
      <w:pPr>
        <w:pStyle w:val="Heading2"/>
      </w:pPr>
      <w:bookmarkStart w:id="28" w:name="data-protection-officer-dpo"/>
      <w:r>
        <w:t xml:space="preserve">Data Protection Officer (DPO)</w:t>
      </w:r>
      <w:bookmarkEnd w:id="28"/>
    </w:p>
    <w:p>
      <w:pPr>
        <w:pStyle w:val="FirstParagraph"/>
      </w:pPr>
      <w:r>
        <w:t xml:space="preserve">We are not legally required to appoint a DPO at our current scale (Art. 37 GDPR thresholds are not met — we are not a public authority, our core activities do not involve large-scale systematic monitoring of data subjects, and we do not process special categories of data at large scale). We have nonetheless designated the CEO (Xhurian Shaba) as the internal data-protection point of contact. We will reassess DPO appointment as the customer base scales.</w:t>
      </w:r>
    </w:p>
    <w:p>
      <w:pPr>
        <w:pStyle w:val="Heading2"/>
      </w:pPr>
      <w:bookmarkStart w:id="29" w:name="records-of-processing-activities-art.-30"/>
      <w:r>
        <w:t xml:space="preserve">Records of Processing Activities (Art. 30)</w:t>
      </w:r>
      <w:bookmarkEnd w:id="29"/>
    </w:p>
    <w:p>
      <w:pPr>
        <w:pStyle w:val="FirstParagraph"/>
      </w:pPr>
      <w:r>
        <w:t xml:space="preserve">A current Article 30 register is maintained internally and available on request to customers and supervisory authorities. It enumerates all processing activities, lawful bases, retention periods, recipients, and transfer mechanisms.</w:t>
      </w:r>
    </w:p>
    <w:p>
      <w:pPr>
        <w:pStyle w:val="Heading2"/>
      </w:pPr>
      <w:bookmarkStart w:id="30" w:name="data-processing-addendum-dpa"/>
      <w:r>
        <w:t xml:space="preserve">Data Processing Addendum (DPA)</w:t>
      </w:r>
      <w:bookmarkEnd w:id="30"/>
    </w:p>
    <w:p>
      <w:pPr>
        <w:pStyle w:val="FirstParagraph"/>
      </w:pPr>
      <w:r>
        <w:t xml:space="preserve">A standard DPA, compliant with Art. 28 GDPR, is incorporated by reference into every merchant agreement (Tier 1 self-serve and above) and is available for customer counter-signature. The DPA includes:</w:t>
      </w:r>
      <w:r>
        <w:t xml:space="preserve"> </w:t>
      </w:r>
      <w:r>
        <w:t xml:space="preserve">- Definitions consistent with GDPR</w:t>
      </w:r>
      <w:r>
        <w:t xml:space="preserve"> </w:t>
      </w:r>
      <w:r>
        <w:t xml:space="preserve">- Processor obligations under Art. 28(3)</w:t>
      </w:r>
      <w:r>
        <w:t xml:space="preserve"> </w:t>
      </w:r>
      <w:r>
        <w:t xml:space="preserve">- Sub-processor list with notification obligation for changes</w:t>
      </w:r>
      <w:r>
        <w:t xml:space="preserve"> </w:t>
      </w:r>
      <w:r>
        <w:t xml:space="preserve">- Standard Contractual Clauses (Module 2) where international transfers occur</w:t>
      </w:r>
      <w:r>
        <w:t xml:space="preserve"> </w:t>
      </w:r>
      <w:r>
        <w:t xml:space="preserve">- Data subject rights cooperation</w:t>
      </w:r>
      <w:r>
        <w:t xml:space="preserve"> </w:t>
      </w:r>
      <w:r>
        <w:t xml:space="preserve">- Audit rights</w:t>
      </w:r>
      <w:r>
        <w:t xml:space="preserve"> </w:t>
      </w:r>
      <w:r>
        <w:t xml:space="preserve">- Breach notification obligations</w:t>
      </w:r>
      <w:r>
        <w:t xml:space="preserve"> </w:t>
      </w:r>
      <w:r>
        <w:t xml:space="preserve">- Data return / deletion at end of contract</w:t>
      </w:r>
    </w:p>
    <w:p>
      <w:pPr>
        <w:pStyle w:val="Heading2"/>
      </w:pPr>
      <w:bookmarkStart w:id="31" w:name="breach-response"/>
      <w:r>
        <w:t xml:space="preserve">Breach response</w:t>
      </w:r>
      <w:bookmarkEnd w:id="31"/>
    </w:p>
    <w:p>
      <w:pPr>
        <w:pStyle w:val="FirstParagraph"/>
      </w:pPr>
      <w:r>
        <w:t xml:space="preserve">In the event of a personal data breach (Art. 33–34 GDPR), our process is:</w:t>
      </w:r>
    </w:p>
    <w:p>
      <w:pPr>
        <w:numPr>
          <w:ilvl w:val="0"/>
          <w:numId w:val="1003"/>
        </w:numPr>
        <w:pStyle w:val="Compact"/>
      </w:pPr>
      <w:r>
        <w:t xml:space="preserve">Internal escalation to CEO within 4 hours of detection.</w:t>
      </w:r>
    </w:p>
    <w:p>
      <w:pPr>
        <w:numPr>
          <w:ilvl w:val="0"/>
          <w:numId w:val="1003"/>
        </w:numPr>
        <w:pStyle w:val="Compact"/>
      </w:pPr>
      <w:r>
        <w:t xml:space="preserve">Preliminary risk assessment within 24 hours.</w:t>
      </w:r>
    </w:p>
    <w:p>
      <w:pPr>
        <w:numPr>
          <w:ilvl w:val="0"/>
          <w:numId w:val="1003"/>
        </w:numPr>
        <w:pStyle w:val="Compact"/>
      </w:pPr>
      <w:r>
        <w:t xml:space="preserve">Supervisory authority notification within 72 hours if a risk to rights and freedoms exists.</w:t>
      </w:r>
    </w:p>
    <w:p>
      <w:pPr>
        <w:numPr>
          <w:ilvl w:val="0"/>
          <w:numId w:val="1003"/>
        </w:numPr>
        <w:pStyle w:val="Compact"/>
      </w:pPr>
      <w:r>
        <w:t xml:space="preserve">Affected data subject notification</w:t>
      </w:r>
      <w:r>
        <w:t xml:space="preserve"> </w:t>
      </w:r>
      <w:r>
        <w:t xml:space="preserve">“</w:t>
      </w:r>
      <w:r>
        <w:t xml:space="preserve">without undue delay</w:t>
      </w:r>
      <w:r>
        <w:t xml:space="preserve">”</w:t>
      </w:r>
      <w:r>
        <w:t xml:space="preserve"> </w:t>
      </w:r>
      <w:r>
        <w:t xml:space="preserve">if a high risk exists.</w:t>
      </w:r>
    </w:p>
    <w:p>
      <w:pPr>
        <w:numPr>
          <w:ilvl w:val="0"/>
          <w:numId w:val="1003"/>
        </w:numPr>
        <w:pStyle w:val="Compact"/>
      </w:pPr>
      <w:r>
        <w:t xml:space="preserve">Post-incident review and Art. 33(5) record completed within 14 days.</w:t>
      </w:r>
    </w:p>
    <w:p>
      <w:pPr>
        <w:pStyle w:val="FirstParagraph"/>
      </w:pPr>
      <w:r>
        <w:t xml:space="preserve">No personal data breach has occurred as of 2 June 2026.</w:t>
      </w:r>
    </w:p>
    <w:p>
      <w:pPr>
        <w:pStyle w:val="Heading2"/>
      </w:pPr>
      <w:bookmarkStart w:id="32" w:name="annual-review"/>
      <w:r>
        <w:t xml:space="preserve">Annual review</w:t>
      </w:r>
      <w:bookmarkEnd w:id="32"/>
    </w:p>
    <w:p>
      <w:pPr>
        <w:pStyle w:val="FirstParagraph"/>
      </w:pPr>
      <w:r>
        <w:t xml:space="preserve">This memo is reviewed annually (next review: June 2027) and updated when material changes occur (new sub-processor, new product capability handling personal data, new regulatory guidance, new geographic market).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2026-06-02T13:47:24Z</dcterms:created>
  <dcterms:modified xsi:type="dcterms:W3CDTF">2026-06-02T13:47:24Z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