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écentic-pricing-revenue-model"/>
      <w:r>
        <w:t xml:space="preserve">écentic — Pricing &amp; Revenue Model</w:t>
      </w:r>
      <w:bookmarkEnd w:id="20"/>
    </w:p>
    <w:p>
      <w:pPr>
        <w:pStyle w:val="FirstParagraph"/>
      </w:pPr>
      <w:r>
        <w:rPr>
          <w:b/>
        </w:rPr>
        <w:t xml:space="preserve">Last updated:</w:t>
      </w:r>
      <w:r>
        <w:t xml:space="preserve"> </w:t>
      </w:r>
      <w:r>
        <w:t xml:space="preserve">2026-06-02</w:t>
      </w:r>
    </w:p>
    <w:p>
      <w:pPr>
        <w:pStyle w:val="Heading2"/>
      </w:pPr>
      <w:bookmarkStart w:id="21" w:name="revenue-streams"/>
      <w:r>
        <w:t xml:space="preserve">Revenue streams</w:t>
      </w:r>
      <w:bookmarkEnd w:id="21"/>
    </w:p>
    <w:p>
      <w:pPr>
        <w:pStyle w:val="FirstParagraph"/>
      </w:pPr>
      <w:r>
        <w:t xml:space="preserve">écentic generates revenue through two primary streams.</w:t>
      </w:r>
    </w:p>
    <w:p>
      <w:pPr>
        <w:pStyle w:val="Heading3"/>
      </w:pPr>
      <w:bookmarkStart w:id="22" w:name="saas-subscription-monthly-three-tier"/>
      <w:r>
        <w:t xml:space="preserve">1. SaaS subscription (monthly, three-tier)</w:t>
      </w:r>
      <w:bookmarkEnd w:id="22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Monthly price (USD)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Monthly price (EUR, @ 0.92)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Target merchant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Connect</w:t>
            </w:r>
          </w:p>
        </w:tc>
        <w:tc>
          <w:p>
            <w:pPr>
              <w:pStyle w:val="Compact"/>
              <w:jc w:val="left"/>
            </w:pPr>
            <w:r>
              <w:t xml:space="preserve">$149</w:t>
            </w:r>
          </w:p>
        </w:tc>
        <w:tc>
          <w:p>
            <w:pPr>
              <w:pStyle w:val="Compact"/>
              <w:jc w:val="left"/>
            </w:pPr>
            <w:r>
              <w:t xml:space="preserve">€137</w:t>
            </w:r>
          </w:p>
        </w:tc>
        <w:tc>
          <w:p>
            <w:pPr>
              <w:pStyle w:val="Compact"/>
              <w:jc w:val="left"/>
            </w:pPr>
            <w:r>
              <w:t xml:space="preserve">Indie Shopify merchants, GMV $100K–$1M, single store, self-serve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Compete</w:t>
            </w:r>
          </w:p>
        </w:tc>
        <w:tc>
          <w:p>
            <w:pPr>
              <w:pStyle w:val="Compact"/>
              <w:jc w:val="left"/>
            </w:pPr>
            <w:r>
              <w:t xml:space="preserve">$499</w:t>
            </w:r>
          </w:p>
        </w:tc>
        <w:tc>
          <w:p>
            <w:pPr>
              <w:pStyle w:val="Compact"/>
              <w:jc w:val="left"/>
            </w:pPr>
            <w:r>
              <w:t xml:space="preserve">€459</w:t>
            </w:r>
          </w:p>
        </w:tc>
        <w:tc>
          <w:p>
            <w:pPr>
              <w:pStyle w:val="Compact"/>
              <w:jc w:val="left"/>
            </w:pPr>
            <w:r>
              <w:t xml:space="preserve">Growing brands, GMV $1M–$10M, multi-SKU, agency-aware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Dominate</w:t>
            </w:r>
          </w:p>
        </w:tc>
        <w:tc>
          <w:p>
            <w:pPr>
              <w:pStyle w:val="Compact"/>
              <w:jc w:val="left"/>
            </w:pPr>
            <w:r>
              <w:t xml:space="preserve">$999</w:t>
            </w:r>
          </w:p>
        </w:tc>
        <w:tc>
          <w:p>
            <w:pPr>
              <w:pStyle w:val="Compact"/>
              <w:jc w:val="left"/>
            </w:pPr>
            <w:r>
              <w:t xml:space="preserve">€919</w:t>
            </w:r>
          </w:p>
        </w:tc>
        <w:tc>
          <w:p>
            <w:pPr>
              <w:pStyle w:val="Compact"/>
              <w:jc w:val="left"/>
            </w:pPr>
            <w:r>
              <w:t xml:space="preserve">Established merchants, GMV $10M–$50M, multi-store, multi-region</w:t>
            </w:r>
          </w:p>
        </w:tc>
      </w:tr>
    </w:tbl>
    <w:p>
      <w:pPr>
        <w:pStyle w:val="BodyText"/>
      </w:pPr>
      <w:r>
        <w:t xml:space="preserve">The blended ARPA across a healthy customer mix (70% Connect, 20% Compete, 10% Dominate) is approximately €280 per month.</w:t>
      </w:r>
    </w:p>
    <w:p>
      <w:pPr>
        <w:pStyle w:val="Heading3"/>
      </w:pPr>
      <w:bookmarkStart w:id="23" w:name="X80fa99b3da8fffea3ffe23c42d89a2e5aee5d11"/>
      <w:r>
        <w:t xml:space="preserve">2. Enterprise contracts (annual, custom-priced)</w:t>
      </w:r>
      <w:bookmarkEnd w:id="23"/>
    </w:p>
    <w:p>
      <w:pPr>
        <w:pStyle w:val="FirstParagraph"/>
      </w:pPr>
      <w:r>
        <w:t xml:space="preserve">Enterprise pilots are positioned as 12-week structured engagements that convert to annual contracts on success. Typical structure: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Pilot fee:</w:t>
      </w:r>
      <w:r>
        <w:t xml:space="preserve"> </w:t>
      </w:r>
      <w:r>
        <w:t xml:space="preserve">€0 for the first two enterprise pilots in 2026 (positioned as flagship case-study generators)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Pilot fee from 2027:</w:t>
      </w:r>
      <w:r>
        <w:t xml:space="preserve"> </w:t>
      </w:r>
      <w:r>
        <w:t xml:space="preserve">€15K-€50K depending on scope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Year 1 annual contract:</w:t>
      </w:r>
      <w:r>
        <w:t xml:space="preserve"> </w:t>
      </w:r>
      <w:r>
        <w:t xml:space="preserve">€25K-€75K depending on catalog size and geography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Average enterprise ACV (Year 1 target):</w:t>
      </w:r>
      <w:r>
        <w:t xml:space="preserve"> </w:t>
      </w:r>
      <w:r>
        <w:t xml:space="preserve">€37,500</w:t>
      </w:r>
    </w:p>
    <w:p>
      <w:pPr>
        <w:pStyle w:val="Heading3"/>
      </w:pPr>
      <w:bookmarkStart w:id="24" w:name="X294ed9b5a4e7399f7eb596c6f790d66b7f3609b"/>
      <w:r>
        <w:t xml:space="preserve">3. Optional revenue: agency / done-for-you audits</w:t>
      </w:r>
      <w:bookmarkEnd w:id="24"/>
    </w:p>
    <w:p>
      <w:pPr>
        <w:pStyle w:val="FirstParagraph"/>
      </w:pPr>
      <w:r>
        <w:t xml:space="preserve">Catalog audits are sold as one-time engagements to merchants who want a single comprehensive write-up rather than ongoing software. This stream is positioned as</w:t>
      </w:r>
      <w:r>
        <w:t xml:space="preserve"> </w:t>
      </w:r>
      <w:r>
        <w:t xml:space="preserve">“</w:t>
      </w:r>
      <w:r>
        <w:t xml:space="preserve">Agency as a Software</w:t>
      </w:r>
      <w:r>
        <w:t xml:space="preserve">”</w:t>
      </w:r>
      <w:r>
        <w:t xml:space="preserve"> </w:t>
      </w:r>
      <w:r>
        <w:t xml:space="preserve">— keeping the price closer to consulting margins while fundamentally delivered through the same software stack.</w:t>
      </w:r>
    </w:p>
    <w:p>
      <w:pPr>
        <w:numPr>
          <w:ilvl w:val="0"/>
          <w:numId w:val="1002"/>
        </w:numPr>
        <w:pStyle w:val="Compact"/>
      </w:pPr>
      <w:r>
        <w:t xml:space="preserve">Price range: €2,300 – €13,800 per audit (corresponds to $2,500 – $15,000)</w:t>
      </w:r>
    </w:p>
    <w:p>
      <w:pPr>
        <w:numPr>
          <w:ilvl w:val="0"/>
          <w:numId w:val="1002"/>
        </w:numPr>
        <w:pStyle w:val="Compact"/>
      </w:pPr>
      <w:r>
        <w:t xml:space="preserve">Average: €5,000 per audit</w:t>
      </w:r>
    </w:p>
    <w:p>
      <w:pPr>
        <w:numPr>
          <w:ilvl w:val="0"/>
          <w:numId w:val="1002"/>
        </w:numPr>
        <w:pStyle w:val="Compact"/>
      </w:pPr>
      <w:r>
        <w:t xml:space="preserve">Volume target: 2 audits/month at steady state (M6 onwards)</w:t>
      </w:r>
    </w:p>
    <w:p>
      <w:pPr>
        <w:numPr>
          <w:ilvl w:val="0"/>
          <w:numId w:val="1002"/>
        </w:numPr>
        <w:pStyle w:val="Compact"/>
      </w:pPr>
      <w:r>
        <w:t xml:space="preserve">Purpose: fund runway while SaaS scales; convert audit customers into recurring subscriptions</w:t>
      </w:r>
    </w:p>
    <w:p>
      <w:pPr>
        <w:pStyle w:val="Heading2"/>
      </w:pPr>
      <w:bookmarkStart w:id="25" w:name="whats-included-at-each-saas-tier"/>
      <w:r>
        <w:t xml:space="preserve">What’s included at each SaaS tier</w:t>
      </w:r>
      <w:bookmarkEnd w:id="25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Connect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Compete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Dominate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Shopify / WooCommerce one-click install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Free initial scan (lead-magnet)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Number of competitors tracked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Unlimited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Simulations per month</w:t>
            </w:r>
          </w:p>
        </w:tc>
        <w:tc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p>
            <w:pPr>
              <w:pStyle w:val="Compact"/>
              <w:jc w:val="left"/>
            </w:pPr>
            <w:r>
              <w:t xml:space="preserve">Unlimited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Models simulated</w:t>
            </w:r>
          </w:p>
        </w:tc>
        <w:tc>
          <w:p>
            <w:pPr>
              <w:pStyle w:val="Compact"/>
              <w:jc w:val="left"/>
            </w:pPr>
            <w:r>
              <w:t xml:space="preserve">GPT-4, Claude</w:t>
            </w:r>
          </w:p>
        </w:tc>
        <w:tc>
          <w:p>
            <w:pPr>
              <w:pStyle w:val="Compact"/>
              <w:jc w:val="left"/>
            </w:pPr>
            <w:r>
              <w:t xml:space="preserve">GPT-4, Claude, Gemini, Perplexity</w:t>
            </w:r>
          </w:p>
        </w:tc>
        <w:tc>
          <w:p>
            <w:pPr>
              <w:pStyle w:val="Compact"/>
              <w:jc w:val="left"/>
            </w:pPr>
            <w:r>
              <w:t xml:space="preserve">All + early access to new models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Agent Replay (reasoning trace)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Auto-publish optimized listings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Agent traffic dashboard</w:t>
            </w:r>
          </w:p>
        </w:tc>
        <w:tc>
          <w:p>
            <w:pPr>
              <w:pStyle w:val="Compact"/>
              <w:jc w:val="left"/>
            </w:pPr>
            <w:r>
              <w:t xml:space="preserve">Basic</w:t>
            </w:r>
          </w:p>
        </w:tc>
        <w:tc>
          <w:p>
            <w:pPr>
              <w:pStyle w:val="Compact"/>
              <w:jc w:val="left"/>
            </w:pPr>
            <w:r>
              <w:t xml:space="preserve">Full</w:t>
            </w:r>
          </w:p>
        </w:tc>
        <w:tc>
          <w:p>
            <w:pPr>
              <w:pStyle w:val="Compact"/>
              <w:jc w:val="left"/>
            </w:pPr>
            <w:r>
              <w:t xml:space="preserve">Full + cohort analysis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Persona-based simulation (budget, premium, eco)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Model-drift alerts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 + auto-re-optimize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Public UCP validator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Shareable scan reports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 access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Support</w:t>
            </w:r>
          </w:p>
        </w:tc>
        <w:tc>
          <w:p>
            <w:pPr>
              <w:pStyle w:val="Compact"/>
              <w:jc w:val="left"/>
            </w:pPr>
            <w:r>
              <w:t xml:space="preserve">Email (48h SLA)</w:t>
            </w:r>
          </w:p>
        </w:tc>
        <w:tc>
          <w:p>
            <w:pPr>
              <w:pStyle w:val="Compact"/>
              <w:jc w:val="left"/>
            </w:pPr>
            <w:r>
              <w:t xml:space="preserve">Email (24h SLA)</w:t>
            </w:r>
          </w:p>
        </w:tc>
        <w:tc>
          <w:p>
            <w:pPr>
              <w:pStyle w:val="Compact"/>
              <w:jc w:val="left"/>
            </w:pPr>
            <w:r>
              <w:t xml:space="preserve">Email + Slack (4h SLA)</w:t>
            </w:r>
          </w:p>
        </w:tc>
      </w:tr>
    </w:tbl>
    <w:p>
      <w:pPr>
        <w:pStyle w:val="Heading2"/>
      </w:pPr>
      <w:bookmarkStart w:id="26" w:name="why-this-pricing"/>
      <w:r>
        <w:t xml:space="preserve">Why this pricing</w:t>
      </w:r>
      <w:bookmarkEnd w:id="26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Connect at $149/mo</w:t>
      </w:r>
      <w:r>
        <w:t xml:space="preserve"> </w:t>
      </w:r>
      <w:r>
        <w:t xml:space="preserve">is priced to be a no-meeting decision for an indie merchant. It’s the same range as established Shopify apps in adjacent categories (SEO, analytics, reviews).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Compete at $499/mo</w:t>
      </w:r>
      <w:r>
        <w:t xml:space="preserve"> </w:t>
      </w:r>
      <w:r>
        <w:t xml:space="preserve">is the volume sweet spot — most growing brands sit here. It includes the auto-publish loop, which is the most defensible part of the product.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Dominate at $999/mo</w:t>
      </w:r>
      <w:r>
        <w:t xml:space="preserve"> </w:t>
      </w:r>
      <w:r>
        <w:t xml:space="preserve">is positioned as the</w:t>
      </w:r>
      <w:r>
        <w:t xml:space="preserve"> </w:t>
      </w:r>
      <w:r>
        <w:t xml:space="preserve">“</w:t>
      </w:r>
      <w:r>
        <w:t xml:space="preserve">agency-grade</w:t>
      </w:r>
      <w:r>
        <w:t xml:space="preserve">”</w:t>
      </w:r>
      <w:r>
        <w:t xml:space="preserve"> </w:t>
      </w:r>
      <w:r>
        <w:t xml:space="preserve">tier. The price is low enough that a single recovered sale pays for the year of subscription.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Enterprise pricing is custom</w:t>
      </w:r>
      <w:r>
        <w:t xml:space="preserve"> </w:t>
      </w:r>
      <w:r>
        <w:t xml:space="preserve">because the catalog sizes (50K–500K SKUs), security review processes, and integration complexity vary too much for a price list.</w:t>
      </w:r>
    </w:p>
    <w:p>
      <w:pPr>
        <w:pStyle w:val="Heading2"/>
      </w:pPr>
      <w:bookmarkStart w:id="27" w:name="gross-margin"/>
      <w:r>
        <w:t xml:space="preserve">Gross margin</w:t>
      </w:r>
      <w:bookmarkEnd w:id="27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SaaS gross margin: ~82%</w:t>
      </w:r>
    </w:p>
    <w:p>
      <w:pPr>
        <w:numPr>
          <w:ilvl w:val="0"/>
          <w:numId w:val="1004"/>
        </w:numPr>
        <w:pStyle w:val="Compact"/>
      </w:pPr>
      <w:r>
        <w:t xml:space="preserve">Variable cost per customer per month: AI/LLM API spend (≈€8 per active customer per month at steady state) + cloud + infra share. This scales sub-linearly with revenue once we cross 100 customers.</w:t>
      </w:r>
    </w:p>
    <w:p>
      <w:pPr>
        <w:numPr>
          <w:ilvl w:val="0"/>
          <w:numId w:val="1004"/>
        </w:numPr>
        <w:pStyle w:val="Compact"/>
      </w:pPr>
      <w:r>
        <w:t xml:space="preserve">Enterprise gross margin: 70%–78% (slightly lower because pilots include high-touch onboarding that takes engineering hours).</w:t>
      </w:r>
    </w:p>
    <w:p>
      <w:pPr>
        <w:pStyle w:val="Heading2"/>
      </w:pPr>
      <w:bookmarkStart w:id="28" w:name="pricing-power-and-upgrade-path"/>
      <w:r>
        <w:t xml:space="preserve">Pricing power and upgrade path</w:t>
      </w:r>
      <w:bookmarkEnd w:id="28"/>
    </w:p>
    <w:p>
      <w:pPr>
        <w:pStyle w:val="FirstParagraph"/>
      </w:pPr>
      <w:r>
        <w:t xml:space="preserve">The standard customer journey is:</w:t>
      </w:r>
    </w:p>
    <w:p>
      <w:pPr>
        <w:numPr>
          <w:ilvl w:val="0"/>
          <w:numId w:val="1005"/>
        </w:numPr>
        <w:pStyle w:val="Compact"/>
      </w:pPr>
      <w:r>
        <w:t xml:space="preserve">Land on Connect via Shopify App Store (low-friction install, free scan immediately)</w:t>
      </w:r>
    </w:p>
    <w:p>
      <w:pPr>
        <w:numPr>
          <w:ilvl w:val="0"/>
          <w:numId w:val="1005"/>
        </w:numPr>
        <w:pStyle w:val="Compact"/>
      </w:pPr>
      <w:r>
        <w:t xml:space="preserve">Convert to Compete within 60 days as soon as the customer wants the auto-publish loop active across more than 3 competitors</w:t>
      </w:r>
    </w:p>
    <w:p>
      <w:pPr>
        <w:numPr>
          <w:ilvl w:val="0"/>
          <w:numId w:val="1005"/>
        </w:numPr>
        <w:pStyle w:val="Compact"/>
      </w:pPr>
      <w:r>
        <w:t xml:space="preserve">Convert to Dominate within 12 months as the catalog grows or the customer wants persona-based simulation and the API tier</w:t>
      </w:r>
    </w:p>
    <w:p>
      <w:pPr>
        <w:pStyle w:val="FirstParagraph"/>
      </w:pPr>
      <w:r>
        <w:t xml:space="preserve">We model net revenue retention at 110%+ at steady state, driven by tier upgrades, audit add-ons, and modest annual price adjustments.</w:t>
      </w:r>
    </w:p>
    <w:p>
      <w:pPr>
        <w:pStyle w:val="Heading2"/>
      </w:pPr>
      <w:bookmarkStart w:id="29" w:name="what-we-explicitly-do-not-charge-for"/>
      <w:r>
        <w:t xml:space="preserve">What we explicitly do not charge for</w:t>
      </w:r>
      <w:bookmarkEnd w:id="29"/>
    </w:p>
    <w:p>
      <w:pPr>
        <w:numPr>
          <w:ilvl w:val="0"/>
          <w:numId w:val="1006"/>
        </w:numPr>
        <w:pStyle w:val="Compact"/>
      </w:pPr>
      <w:r>
        <w:t xml:space="preserve">The initial scan (this is a lead-magnet — the merchant gets one full report before paying anything)</w:t>
      </w:r>
    </w:p>
    <w:p>
      <w:pPr>
        <w:numPr>
          <w:ilvl w:val="0"/>
          <w:numId w:val="1006"/>
        </w:numPr>
        <w:pStyle w:val="Compact"/>
      </w:pPr>
      <w:r>
        <w:t xml:space="preserve">The public UCP validator (always free, for any domain — drives top-of-funnel)</w:t>
      </w:r>
    </w:p>
    <w:p>
      <w:pPr>
        <w:numPr>
          <w:ilvl w:val="0"/>
          <w:numId w:val="1006"/>
        </w:numPr>
        <w:pStyle w:val="Compact"/>
      </w:pPr>
      <w:r>
        <w:t xml:space="preserve">Quarterly</w:t>
      </w:r>
      <w:r>
        <w:t xml:space="preserve"> </w:t>
      </w:r>
      <w:r>
        <w:t xml:space="preserve">“</w:t>
      </w:r>
      <w:r>
        <w:t xml:space="preserve">State of Agent Commerce</w:t>
      </w:r>
      <w:r>
        <w:t xml:space="preserve">”</w:t>
      </w:r>
      <w:r>
        <w:t xml:space="preserve"> </w:t>
      </w:r>
      <w:r>
        <w:t xml:space="preserve">report (free download, lead-capture only)</w:t>
      </w:r>
    </w:p>
    <w:p>
      <w:pPr>
        <w:numPr>
          <w:ilvl w:val="0"/>
          <w:numId w:val="1006"/>
        </w:numPr>
        <w:pStyle w:val="Compact"/>
      </w:pPr>
      <w:r>
        <w:t xml:space="preserve">Open-source contributions to the agent-commerce ecosystem (these increase our credibility, not our revenue)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 w:cs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1E40A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1E40A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1E40A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i/>
      <w:iCs/>
      <w:color w:val="1E40A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Times New Roman" w:cs="Times New Roman"/>
      <w:b/>
      <w:color w:val="1E40AF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 w:cs="Times New Roman"/>
      <w:b/>
      <w:color w:val="1E40A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2026-06-02T13:59:56Z</dcterms:created>
  <dcterms:modified xsi:type="dcterms:W3CDTF">2026-06-02T13:59:56Z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