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awards-recognition"/>
      <w:r>
        <w:t xml:space="preserve">écentic — Awards &amp; Recognition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Heading2"/>
      </w:pPr>
      <w:bookmarkStart w:id="21" w:name="confirmed-recognition"/>
      <w:r>
        <w:t xml:space="preserve">Confirmed recognition</w:t>
      </w:r>
      <w:bookmarkEnd w:id="21"/>
    </w:p>
    <w:p>
      <w:pPr>
        <w:pStyle w:val="Heading3"/>
      </w:pPr>
      <w:bookmarkStart w:id="22" w:name="X1667cb3786add543620df763c888a77b37831d3"/>
      <w:r>
        <w:t xml:space="preserve">Red Bull Basement — Albania National Winner (2026)</w:t>
      </w:r>
      <w:bookmarkEnd w:id="22"/>
    </w:p>
    <w:p>
      <w:pPr>
        <w:pStyle w:val="FirstParagraph"/>
      </w:pPr>
      <w:r>
        <w:t xml:space="preserve">écentic won the Albania national edition of Red Bull Basement 2026, the global first-time-founder competition. As Albania’s national winner, the team will represent the country at the</w:t>
      </w:r>
      <w:r>
        <w:t xml:space="preserve"> </w:t>
      </w:r>
      <w:r>
        <w:rPr>
          <w:b/>
        </w:rPr>
        <w:t xml:space="preserve">World Final in Silicon Valley, June 1–3 2026</w:t>
      </w:r>
      <w:r>
        <w:t xml:space="preserve">, alongside teams from 40+ countries.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Program organiser:</w:t>
      </w:r>
      <w:r>
        <w:t xml:space="preserve"> </w:t>
      </w:r>
      <w:r>
        <w:t xml:space="preserve">Red Bull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Date won:</w:t>
      </w:r>
      <w:r>
        <w:t xml:space="preserve"> </w:t>
      </w:r>
      <w:r>
        <w:t xml:space="preserve">[TO CONFIRM date]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Position:</w:t>
      </w:r>
      <w:r>
        <w:t xml:space="preserve"> </w:t>
      </w:r>
      <w:r>
        <w:t xml:space="preserve">Albania National Winner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Outcome:</w:t>
      </w:r>
      <w:r>
        <w:t xml:space="preserve"> </w:t>
      </w:r>
      <w:r>
        <w:t xml:space="preserve">Representing Albania at the Silicon Valley World Final, June 1–3, 2026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Prize landscape:</w:t>
      </w:r>
      <w:r>
        <w:t xml:space="preserve"> </w:t>
      </w:r>
      <w:r>
        <w:t xml:space="preserve">Global winner receives $100,000 USD in funding and $25,000 USD in Microsoft Azure credits, plus mentorship from Red Bull Ventures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Press availability:</w:t>
      </w:r>
      <w:r>
        <w:t xml:space="preserve"> </w:t>
      </w:r>
      <w:r>
        <w:t xml:space="preserve">Red Bull Basement Albania media kit available on request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External reference link:</w:t>
      </w:r>
      <w:r>
        <w:t xml:space="preserve"> </w:t>
      </w:r>
      <w:r>
        <w:t xml:space="preserve">https://www.redbull.com/al-al/events/red-bull-basement-albania-2026</w:t>
      </w:r>
    </w:p>
    <w:p>
      <w:pPr>
        <w:pStyle w:val="FirstParagraph"/>
      </w:pPr>
      <w:r>
        <w:t xml:space="preserve">This recognition is used across the pitch deck, one-pager, and the data room cover page. It is the most credible third-party signal of programme acceptance to date.</w:t>
      </w:r>
    </w:p>
    <w:p>
      <w:pPr>
        <w:pStyle w:val="Heading3"/>
      </w:pPr>
      <w:bookmarkStart w:id="23" w:name="X83b9b96e8c2497fc2ff3dd9b25eff184435f87c"/>
      <w:r>
        <w:t xml:space="preserve">Plug and Play Tirana — Batch 2 (February 2026)</w:t>
      </w:r>
      <w:bookmarkEnd w:id="23"/>
    </w:p>
    <w:p>
      <w:pPr>
        <w:pStyle w:val="FirstParagraph"/>
      </w:pPr>
      <w:r>
        <w:t xml:space="preserve">écentic was selected to Batch 2 of Plug and Play Tirana, joining the broader Plug and Play global network. Plug and Play’s alumni include Honey, Dropbox, PayPal, Lending Club, and 30+ unicorns across the network.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Program organiser:</w:t>
      </w:r>
      <w:r>
        <w:t xml:space="preserve"> </w:t>
      </w:r>
      <w:r>
        <w:t xml:space="preserve">Plug and Play (in partnership with the Albanian innovation ecosystem)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Cohort:</w:t>
      </w:r>
      <w:r>
        <w:t xml:space="preserve"> </w:t>
      </w:r>
      <w:r>
        <w:t xml:space="preserve">Batch 2, February 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Position:</w:t>
      </w:r>
      <w:r>
        <w:t xml:space="preserve"> </w:t>
      </w:r>
      <w:r>
        <w:t xml:space="preserve">Cohort participant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Outcome:</w:t>
      </w:r>
      <w:r>
        <w:t xml:space="preserve"> </w:t>
      </w:r>
      <w:r>
        <w:t xml:space="preserve">Access to Plug and Play’s global corporate ventures pipeline, including active enterprise discussions sourced through PnP (Carrefour, eBay, Inditex)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Press availability:</w:t>
      </w:r>
      <w:r>
        <w:t xml:space="preserve"> </w:t>
      </w:r>
      <w:r>
        <w:t xml:space="preserve">Plug and Play press materials referenced on request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External reference link:</w:t>
      </w:r>
      <w:r>
        <w:t xml:space="preserve"> </w:t>
      </w:r>
      <w:r>
        <w:t xml:space="preserve">https://www.plugandplaytechcenter.com/locations/tirana/</w:t>
      </w:r>
    </w:p>
    <w:p>
      <w:pPr>
        <w:pStyle w:val="FirstParagraph"/>
      </w:pPr>
      <w:r>
        <w:t xml:space="preserve">This recognition is used in the pitch deck (Proof slide) and the one-pager.</w:t>
      </w:r>
    </w:p>
    <w:p>
      <w:pPr>
        <w:pStyle w:val="Heading3"/>
      </w:pPr>
      <w:bookmarkStart w:id="24" w:name="shopify-app-store-live-partner"/>
      <w:r>
        <w:t xml:space="preserve">Shopify App Store — Live partner</w:t>
      </w:r>
      <w:bookmarkEnd w:id="24"/>
    </w:p>
    <w:p>
      <w:pPr>
        <w:pStyle w:val="FirstParagraph"/>
      </w:pPr>
      <w:r>
        <w:t xml:space="preserve">écentic is published on the Shopify App Store with the OAuth-scoped write-back integration enabled, in the agent-optimisation category. As of May 2026 we are one of approximately 45 apps live in that category — a category that did not exist a year ago.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Listing status:</w:t>
      </w:r>
      <w:r>
        <w:t xml:space="preserve"> </w:t>
      </w:r>
      <w:r>
        <w:t xml:space="preserve">Live (write-back enabled)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Category:</w:t>
      </w:r>
      <w:r>
        <w:t xml:space="preserve"> </w:t>
      </w:r>
      <w:r>
        <w:t xml:space="preserve">Agent / AI optimisation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Built for Shopify badge:</w:t>
      </w:r>
      <w:r>
        <w:t xml:space="preserve"> </w:t>
      </w:r>
      <w:r>
        <w:t xml:space="preserve">Pursued for Q4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a90c8b61a38d1729b8542adb6c0b0d258eb031"/>
      <w:r>
        <w:t xml:space="preserve">In-flight (mentioned in conversations, not yet finalised)</w:t>
      </w:r>
      <w:bookmarkEnd w:id="25"/>
    </w:p>
    <w:p>
      <w:pPr>
        <w:pStyle w:val="FirstParagraph"/>
      </w:pPr>
      <w:r>
        <w:t xml:space="preserve">These are programmes or recognitions where conversations are active but no formal outcome exists yet. They should not be claimed as</w:t>
      </w:r>
      <w:r>
        <w:t xml:space="preserve"> </w:t>
      </w:r>
      <w:r>
        <w:t xml:space="preserve">“</w:t>
      </w:r>
      <w:r>
        <w:t xml:space="preserve">won</w:t>
      </w:r>
      <w:r>
        <w:t xml:space="preserve">”</w:t>
      </w:r>
      <w:r>
        <w:t xml:space="preserve"> </w:t>
      </w:r>
      <w:r>
        <w:t xml:space="preserve">externally.</w:t>
      </w:r>
    </w:p>
    <w:p>
      <w:pPr>
        <w:pStyle w:val="Heading3"/>
      </w:pPr>
      <w:bookmarkStart w:id="26" w:name="Xe64ea11c709ef01d712b1c3385744c349ee7654"/>
      <w:r>
        <w:t xml:space="preserve">FRC (Fil Rouge Capital) — accelerator track engagement</w:t>
      </w:r>
      <w:bookmarkEnd w:id="26"/>
    </w:p>
    <w:p>
      <w:pPr>
        <w:pStyle w:val="FirstParagraph"/>
      </w:pPr>
      <w:r>
        <w:t xml:space="preserve">écentic is engaged with FRC, an early-stage venture accelerator with portfolio companies across CEE. Specifically:</w:t>
      </w:r>
    </w:p>
    <w:p>
      <w:pPr>
        <w:numPr>
          <w:ilvl w:val="0"/>
          <w:numId w:val="1004"/>
        </w:numPr>
        <w:pStyle w:val="Compact"/>
      </w:pPr>
      <w:r>
        <w:t xml:space="preserve">Active mentor relationship with Julien Coustary, FRC founder and YC alum</w:t>
      </w:r>
    </w:p>
    <w:p>
      <w:pPr>
        <w:numPr>
          <w:ilvl w:val="0"/>
          <w:numId w:val="1004"/>
        </w:numPr>
        <w:pStyle w:val="Compact"/>
      </w:pPr>
      <w:r>
        <w:t xml:space="preserve">Participation in FRC’s pitching curriculum and feedback process</w:t>
      </w:r>
    </w:p>
    <w:p>
      <w:pPr>
        <w:numPr>
          <w:ilvl w:val="0"/>
          <w:numId w:val="1004"/>
        </w:numPr>
        <w:pStyle w:val="Compact"/>
      </w:pPr>
      <w:r>
        <w:t xml:space="preserve">Investment conversation ongoing — no SAFE or wire confirmed as of 2 June 2026</w:t>
      </w:r>
    </w:p>
    <w:p>
      <w:pPr>
        <w:pStyle w:val="FirstParagraph"/>
      </w:pPr>
      <w:r>
        <w:rPr>
          <w:b/>
        </w:rPr>
        <w:t xml:space="preserve">External claim policy:</w:t>
      </w:r>
      <w:r>
        <w:t xml:space="preserve"> </w:t>
      </w:r>
      <w:r>
        <w:t xml:space="preserve">“</w:t>
      </w:r>
      <w:r>
        <w:t xml:space="preserve">Engaged with FRC accelerator programme</w:t>
      </w:r>
      <w:r>
        <w:t xml:space="preserve">”</w:t>
      </w:r>
      <w:r>
        <w:t xml:space="preserve"> </w:t>
      </w:r>
      <w:r>
        <w:t xml:space="preserve">is the maximum claim that holds up.</w:t>
      </w:r>
      <w:r>
        <w:t xml:space="preserve"> </w:t>
      </w:r>
      <w:r>
        <w:t xml:space="preserve">“</w:t>
      </w:r>
      <w:r>
        <w:t xml:space="preserve">FRC portfolio company</w:t>
      </w:r>
      <w:r>
        <w:t xml:space="preserve">”</w:t>
      </w:r>
      <w:r>
        <w:t xml:space="preserve"> </w:t>
      </w:r>
      <w:r>
        <w:t xml:space="preserve">must not be claimed until a SAFE or term sheet is executed.</w:t>
      </w:r>
    </w:p>
    <w:p>
      <w:pPr>
        <w:pStyle w:val="Heading3"/>
      </w:pPr>
      <w:bookmarkStart w:id="27" w:name="y-combinator-under-application"/>
      <w:r>
        <w:t xml:space="preserve">Y Combinator — under application</w:t>
      </w:r>
      <w:bookmarkEnd w:id="27"/>
    </w:p>
    <w:p>
      <w:pPr>
        <w:pStyle w:val="FirstParagraph"/>
      </w:pPr>
      <w:r>
        <w:t xml:space="preserve">écentic is preparing a YC application with a recommendation letter from Julien Coustary (FRC founder, YC alum). The application has not been submitted as of 2 June 2026.</w:t>
      </w:r>
    </w:p>
    <w:p>
      <w:pPr>
        <w:pStyle w:val="BodyText"/>
      </w:pPr>
      <w:r>
        <w:rPr>
          <w:b/>
        </w:rPr>
        <w:t xml:space="preserve">External claim policy:</w:t>
      </w:r>
      <w:r>
        <w:t xml:space="preserve"> </w:t>
      </w:r>
      <w:r>
        <w:t xml:space="preserve">Do not claim YC association until and unless accepted.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spirational-target"/>
      <w:r>
        <w:t xml:space="preserve">Aspirational / target</w:t>
      </w:r>
      <w:bookmarkEnd w:id="28"/>
    </w:p>
    <w:p>
      <w:pPr>
        <w:pStyle w:val="FirstParagraph"/>
      </w:pPr>
      <w:r>
        <w:t xml:space="preserve">These are not yet recognitions — they are recognised programmes we are positioning to participate in or apply for during 2026–2027.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a16z Speedrun</w:t>
      </w:r>
      <w:r>
        <w:t xml:space="preserve"> </w:t>
      </w:r>
      <w:r>
        <w:t xml:space="preserve">— pitched, no current confirmation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AWS Activate</w:t>
      </w:r>
      <w:r>
        <w:t xml:space="preserve"> </w:t>
      </w:r>
      <w:r>
        <w:t xml:space="preserve">— eligible based on profile, application not yet submitted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NVIDIA Inception</w:t>
      </w:r>
      <w:r>
        <w:t xml:space="preserve"> </w:t>
      </w:r>
      <w:r>
        <w:t xml:space="preserve">— eligible, application not yet submitted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Visa Fast Track / Visa Ready</w:t>
      </w:r>
      <w:r>
        <w:t xml:space="preserve"> </w:t>
      </w:r>
      <w:r>
        <w:t xml:space="preserve">— exploratory conversation through the Visa Merchant Observatory positioning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ess-mentions"/>
      <w:r>
        <w:t xml:space="preserve">Press mentions</w:t>
      </w:r>
      <w:bookmarkEnd w:id="29"/>
    </w:p>
    <w:p>
      <w:pPr>
        <w:pStyle w:val="FirstParagraph"/>
      </w:pPr>
      <w:r>
        <w:rPr>
          <w:b/>
        </w:rPr>
        <w:t xml:space="preserve">None confirmed as of 2 June 2026.</w:t>
      </w:r>
    </w:p>
    <w:p>
      <w:pPr>
        <w:pStyle w:val="BodyText"/>
      </w:pPr>
      <w:r>
        <w:t xml:space="preserve">Press strategy for the next 12 months:</w:t>
      </w:r>
    </w:p>
    <w:p>
      <w:pPr>
        <w:numPr>
          <w:ilvl w:val="0"/>
          <w:numId w:val="1006"/>
        </w:numPr>
        <w:pStyle w:val="Compact"/>
      </w:pPr>
      <w:r>
        <w:t xml:space="preserve">Earned media around Red Bull Basement World Final (June 2026)</w:t>
      </w:r>
    </w:p>
    <w:p>
      <w:pPr>
        <w:numPr>
          <w:ilvl w:val="0"/>
          <w:numId w:val="1006"/>
        </w:numPr>
        <w:pStyle w:val="Compact"/>
      </w:pPr>
      <w:r>
        <w:t xml:space="preserve">Outbound pitches to Modern Retail, DTC Newsletter, Retail Dive, Lenny’s Newsletter, TechCrunch (Albania / EU angle), Beta Boom (small markets), Sifted (Europe)</w:t>
      </w:r>
    </w:p>
    <w:p>
      <w:pPr>
        <w:numPr>
          <w:ilvl w:val="0"/>
          <w:numId w:val="1006"/>
        </w:numPr>
        <w:pStyle w:val="Compact"/>
      </w:pPr>
      <w:r>
        <w:t xml:space="preserve">Self-published quarterly</w:t>
      </w:r>
      <w:r>
        <w:t xml:space="preserve"> </w:t>
      </w:r>
      <w:r>
        <w:t xml:space="preserve">“</w:t>
      </w:r>
      <w:r>
        <w:t xml:space="preserve">State of Agent Commerce</w:t>
      </w:r>
      <w:r>
        <w:t xml:space="preserve">”</w:t>
      </w:r>
      <w:r>
        <w:t xml:space="preserve"> </w:t>
      </w:r>
      <w:r>
        <w:t xml:space="preserve">report as PR vehicle</w:t>
      </w:r>
    </w:p>
    <w:p>
      <w:pPr>
        <w:numPr>
          <w:ilvl w:val="0"/>
          <w:numId w:val="1006"/>
        </w:numPr>
        <w:pStyle w:val="Compact"/>
      </w:pPr>
      <w:r>
        <w:t xml:space="preserve">Founder podcast appearances (target list maintained separately)</w:t>
      </w:r>
    </w:p>
    <w:p>
      <w:pPr>
        <w:pStyle w:val="FirstParagraph"/>
      </w:pPr>
      <w:r>
        <w:t xml:space="preserve">When a press mention is published, log it here and link to the artefact in</w:t>
      </w:r>
      <w:r>
        <w:t xml:space="preserve"> </w:t>
      </w:r>
      <w:r>
        <w:rPr>
          <w:rStyle w:val="VerbatimChar"/>
        </w:rPr>
        <w:t xml:space="preserve">dataroom/3_product_brand/3.2_press_brand/media-mentions/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ogos-and-marks-for-use"/>
      <w:r>
        <w:t xml:space="preserve">Logos and marks for use</w:t>
      </w:r>
      <w:bookmarkEnd w:id="30"/>
    </w:p>
    <w:p>
      <w:pPr>
        <w:pStyle w:val="FirstParagraph"/>
      </w:pPr>
      <w:r>
        <w:t xml:space="preserve">Permission status for each logo écentic uses externally: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Bull Basement (event mark)</w:t>
            </w:r>
          </w:p>
        </w:tc>
        <w:tc>
          <w:p>
            <w:pPr>
              <w:pStyle w:val="Compact"/>
              <w:jc w:val="left"/>
            </w:pPr>
            <w:r>
              <w:t xml:space="preserve">Pitch deck, one-pager</w:t>
            </w:r>
          </w:p>
        </w:tc>
        <w:tc>
          <w:p>
            <w:pPr>
              <w:pStyle w:val="Compact"/>
              <w:jc w:val="left"/>
            </w:pPr>
            <w:r>
              <w:t xml:space="preserve">Implied permission for participating teams; verify before broad commercial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Plug and Play</w:t>
            </w:r>
          </w:p>
        </w:tc>
        <w:tc>
          <w:p>
            <w:pPr>
              <w:pStyle w:val="Compact"/>
              <w:jc w:val="left"/>
            </w:pPr>
            <w:r>
              <w:t xml:space="preserve">Pitch deck, one-pager</w:t>
            </w:r>
          </w:p>
        </w:tc>
        <w:tc>
          <w:p>
            <w:pPr>
              <w:pStyle w:val="Compact"/>
              <w:jc w:val="left"/>
            </w:pPr>
            <w:r>
              <w:t xml:space="preserve">Cohort participation grants standard logo use; verify before broad commercial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(partner mark)</w:t>
            </w:r>
          </w:p>
        </w:tc>
        <w:tc>
          <w:p>
            <w:pPr>
              <w:pStyle w:val="Compact"/>
              <w:jc w:val="left"/>
            </w:pPr>
            <w:r>
              <w:t xml:space="preserve">Pitch deck, one-pager</w:t>
            </w:r>
          </w:p>
        </w:tc>
        <w:tc>
          <w:p>
            <w:pPr>
              <w:pStyle w:val="Compact"/>
              <w:jc w:val="left"/>
            </w:pPr>
            <w:r>
              <w:t xml:space="preserve">Available to Shopify App Store partners under Shopify partner brand guidelines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logos (Dua, Avatid)</w:t>
            </w:r>
          </w:p>
        </w:tc>
        <w:tc>
          <w:p>
            <w:pPr>
              <w:pStyle w:val="Compact"/>
              <w:jc w:val="left"/>
            </w:pPr>
            <w:r>
              <w:t xml:space="preserve">Pitch deck, one-pager</w:t>
            </w:r>
          </w:p>
        </w:tc>
        <w:tc>
          <w:p>
            <w:pPr>
              <w:pStyle w:val="Compact"/>
              <w:jc w:val="left"/>
            </w:pPr>
            <w:r>
              <w:t xml:space="preserve">Verbal approval; written confirmation in progress</w:t>
            </w:r>
          </w:p>
        </w:tc>
      </w:tr>
    </w:tbl>
    <w:p>
      <w:pPr>
        <w:pStyle w:val="BodyText"/>
      </w:pPr>
      <w:r>
        <w:t xml:space="preserve">All third-party logos are used under</w:t>
      </w:r>
      <w:r>
        <w:t xml:space="preserve"> </w:t>
      </w:r>
      <w:r>
        <w:t xml:space="preserve">“</w:t>
      </w:r>
      <w:r>
        <w:t xml:space="preserve">use in good faith</w:t>
      </w:r>
      <w:r>
        <w:t xml:space="preserve">”</w:t>
      </w:r>
      <w:r>
        <w:t xml:space="preserve"> </w:t>
      </w:r>
      <w:r>
        <w:t xml:space="preserve">provisions of the relevant brand guidelines. We do not modify, distort, or co-brand without explicit written approval.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2026-06-02T13:59:54Z</dcterms:created>
  <dcterms:modified xsi:type="dcterms:W3CDTF">2026-06-02T13:59:54Z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