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xml" ContentType="application/vnd.openxmlformats-officedocument.wordprocessingml.header+xml"/>
  <Override PartName="/word/footer.xml" ContentType="application/vnd.openxmlformats-officedocument.wordprocessingml.footer+xml"/>
  <Default Extension="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ase-study-dua-flavours-uk"/>
      <w:r>
        <w:t xml:space="preserve">Case Study — Dua Flavours UK</w:t>
      </w:r>
      <w:bookmarkEnd w:id="20"/>
    </w:p>
    <w:p>
      <w:pPr>
        <w:pStyle w:val="FirstParagraph"/>
      </w:pPr>
      <w:r>
        <w:rPr>
          <w:b/>
        </w:rPr>
        <w:t xml:space="preserve">Last updated:</w:t>
      </w:r>
      <w:r>
        <w:t xml:space="preserve"> </w:t>
      </w:r>
      <w:r>
        <w:t xml:space="preserve">2026-06-02</w:t>
      </w:r>
      <w:r>
        <w:t xml:space="preserve"> </w:t>
      </w:r>
      <w:r>
        <w:rPr>
          <w:b/>
        </w:rPr>
        <w:t xml:space="preserve">Customer:</w:t>
      </w:r>
      <w:r>
        <w:t xml:space="preserve"> </w:t>
      </w:r>
      <w:r>
        <w:t xml:space="preserve">Dua Flavours UK</w:t>
      </w:r>
      <w:r>
        <w:t xml:space="preserve"> </w:t>
      </w:r>
      <w:r>
        <w:rPr>
          <w:b/>
        </w:rPr>
        <w:t xml:space="preserve">Category:</w:t>
      </w:r>
      <w:r>
        <w:t xml:space="preserve"> </w:t>
      </w:r>
      <w:r>
        <w:t xml:space="preserve">Shisha flavours and lifestyle products</w:t>
      </w:r>
      <w:r>
        <w:t xml:space="preserve"> </w:t>
      </w:r>
      <w:r>
        <w:rPr>
          <w:b/>
        </w:rPr>
        <w:t xml:space="preserve">Platform:</w:t>
      </w:r>
      <w:r>
        <w:t xml:space="preserve"> </w:t>
      </w:r>
      <w:r>
        <w:t xml:space="preserve">Shopify</w:t>
      </w:r>
      <w:r>
        <w:t xml:space="preserve"> </w:t>
      </w:r>
      <w:r>
        <w:rPr>
          <w:b/>
        </w:rPr>
        <w:t xml:space="preserve">Geography:</w:t>
      </w:r>
      <w:r>
        <w:t xml:space="preserve"> </w:t>
      </w:r>
      <w:r>
        <w:t xml:space="preserve">UK, with online + retail presence in Greater London</w:t>
      </w:r>
      <w:r>
        <w:t xml:space="preserve"> </w:t>
      </w:r>
      <w:r>
        <w:rPr>
          <w:b/>
        </w:rPr>
        <w:t xml:space="preserve">Owner:</w:t>
      </w:r>
      <w:r>
        <w:t xml:space="preserve"> </w:t>
      </w:r>
      <w:r>
        <w:t xml:space="preserve">Armir Çelaj</w:t>
      </w:r>
      <w:r>
        <w:t xml:space="preserve"> </w:t>
      </w:r>
      <w:r>
        <w:rPr>
          <w:b/>
        </w:rPr>
        <w:t xml:space="preserve">Position with écentic:</w:t>
      </w:r>
      <w:r>
        <w:t xml:space="preserve"> </w:t>
      </w:r>
      <w:r>
        <w:t xml:space="preserve">Live paying customer since early 2026</w:t>
      </w:r>
      <w:r>
        <w:t xml:space="preserve"> </w:t>
      </w:r>
      <w:r>
        <w:rPr>
          <w:b/>
        </w:rPr>
        <w:t xml:space="preserve">Permissions:</w:t>
      </w:r>
      <w:r>
        <w:t xml:space="preserve"> </w:t>
      </w:r>
      <w:r>
        <w:t xml:space="preserve">Customer name, logo, quote, and outcome metrics approved for external use</w:t>
      </w:r>
    </w:p>
    <w:p>
      <w:r>
        <w:pict>
          <v:rect style="width:0;height:1.5pt" o:hralign="center" o:hrstd="t" o:hr="t"/>
        </w:pict>
      </w:r>
    </w:p>
    <w:p>
      <w:pPr>
        <w:pStyle w:val="Heading2"/>
      </w:pPr>
      <w:bookmarkStart w:id="21" w:name="the-merchant"/>
      <w:r>
        <w:t xml:space="preserve">The merchant</w:t>
      </w:r>
      <w:bookmarkEnd w:id="21"/>
    </w:p>
    <w:p>
      <w:pPr>
        <w:pStyle w:val="FirstParagraph"/>
      </w:pPr>
      <w:r>
        <w:t xml:space="preserve">Dua Flavours UK is a UK-based merchant selling shisha flavours and adjacent lifestyle products through a Shopify store, supported by physical retail. Pre-AI, the business had built a healthy online presence — strong organic search positioning, good conversion on product pages, and a returning-customer base built around specific hero flavours.</w:t>
      </w:r>
    </w:p>
    <w:p>
      <w:pPr>
        <w:pStyle w:val="BodyText"/>
      </w:pPr>
      <w:r>
        <w:t xml:space="preserve">By mid-2025, Armir was seeing online traffic anomalies he couldn’t explain. Search rankings hadn’t changed. Ad spend was steady. But sales on individual hero products were sliding, and conventional analytics gave him no answer.</w:t>
      </w:r>
    </w:p>
    <w:p>
      <w:r>
        <w:pict>
          <v:rect style="width:0;height:1.5pt" o:hralign="center" o:hrstd="t" o:hr="t"/>
        </w:pict>
      </w:r>
    </w:p>
    <w:p>
      <w:pPr>
        <w:pStyle w:val="Heading2"/>
      </w:pPr>
      <w:bookmarkStart w:id="22" w:name="the-problem"/>
      <w:r>
        <w:t xml:space="preserve">The problem</w:t>
      </w:r>
      <w:bookmarkEnd w:id="22"/>
    </w:p>
    <w:p>
      <w:pPr>
        <w:pStyle w:val="FirstParagraph"/>
      </w:pPr>
      <w:r>
        <w:t xml:space="preserve">In late 2025 and early 2026, the AI shopping wave hit Dua’s category. Shoppers searching ChatGPT and Gemini for</w:t>
      </w:r>
      <w:r>
        <w:t xml:space="preserve"> </w:t>
      </w:r>
      <w:r>
        <w:t xml:space="preserve">“</w:t>
      </w:r>
      <w:r>
        <w:t xml:space="preserve">best shisha flavour under £30</w:t>
      </w:r>
      <w:r>
        <w:t xml:space="preserve">”</w:t>
      </w:r>
      <w:r>
        <w:t xml:space="preserve"> </w:t>
      </w:r>
      <w:r>
        <w:t xml:space="preserve">or</w:t>
      </w:r>
      <w:r>
        <w:t xml:space="preserve"> </w:t>
      </w:r>
      <w:r>
        <w:t xml:space="preserve">“</w:t>
      </w:r>
      <w:r>
        <w:t xml:space="preserve">best lounge in Greater London Area</w:t>
      </w:r>
      <w:r>
        <w:t xml:space="preserve">”</w:t>
      </w:r>
      <w:r>
        <w:t xml:space="preserve"> </w:t>
      </w:r>
      <w:r>
        <w:t xml:space="preserve">were no longer being routed through Google search to Dua’s product pages. The AI agents picked competitors directly.</w:t>
      </w:r>
    </w:p>
    <w:p>
      <w:pPr>
        <w:pStyle w:val="BodyText"/>
      </w:pPr>
      <w:r>
        <w:t xml:space="preserve">The specific moment that crystallised it for Armir came after Gemini 3.1 launched:</w:t>
      </w:r>
    </w:p>
    <w:p>
      <w:pPr>
        <w:pStyle w:val="BlockText"/>
      </w:pPr>
      <w:r>
        <w:rPr>
          <w:b/>
        </w:rPr>
        <w:t xml:space="preserve">“</w:t>
      </w:r>
      <w:r>
        <w:rPr>
          <w:b/>
        </w:rPr>
        <w:t xml:space="preserve">40% traffic drop after Gemini 3.1. We didn’t know why. We couldn’t fix it.</w:t>
      </w:r>
      <w:r>
        <w:rPr>
          <w:b/>
        </w:rPr>
        <w:t xml:space="preserve">”</w:t>
      </w:r>
      <w:r>
        <w:t xml:space="preserve"> </w:t>
      </w:r>
      <w:r>
        <w:t xml:space="preserve">— Armir Çelaj, Owner, Dua Flavours UK</w:t>
      </w:r>
    </w:p>
    <w:p>
      <w:pPr>
        <w:pStyle w:val="FirstParagraph"/>
      </w:pPr>
      <w:r>
        <w:t xml:space="preserve">His Google Analytics showed no obvious cause. Page rankings were intact. But agent-driven referral traffic — invisible in standard analytics — was being routed elsewhere.</w:t>
      </w:r>
    </w:p>
    <w:p>
      <w:r>
        <w:pict>
          <v:rect style="width:0;height:1.5pt" o:hralign="center" o:hrstd="t" o:hr="t"/>
        </w:pict>
      </w:r>
    </w:p>
    <w:p>
      <w:pPr>
        <w:pStyle w:val="Heading2"/>
      </w:pPr>
      <w:bookmarkStart w:id="23" w:name="what-we-did"/>
      <w:r>
        <w:t xml:space="preserve">What we did</w:t>
      </w:r>
      <w:bookmarkEnd w:id="23"/>
    </w:p>
    <w:p>
      <w:pPr>
        <w:pStyle w:val="FirstParagraph"/>
      </w:pPr>
      <w:r>
        <w:t xml:space="preserve">Dua connected their Shopify store to écentic in early 2026. The integration took under 10 minutes — OAuth handoff, catalog sync, first scan.</w:t>
      </w:r>
    </w:p>
    <w:p>
      <w:pPr>
        <w:pStyle w:val="BodyText"/>
      </w:pPr>
      <w:r>
        <w:rPr>
          <w:b/>
        </w:rPr>
        <w:t xml:space="preserve">Phase 1 — Diagnosis (Days 1–7)</w:t>
      </w:r>
      <w:r>
        <w:t xml:space="preserve"> </w:t>
      </w:r>
      <w:r>
        <w:t xml:space="preserve">- Ran 100+ unique simulations across GPT-4, Claude, Gemini, and Perplexity against Dua’s hero SKUs</w:t>
      </w:r>
      <w:r>
        <w:t xml:space="preserve"> </w:t>
      </w:r>
      <w:r>
        <w:t xml:space="preserve">- Identified the specific listing gaps each model penalised: incomplete JSON-LD structured data, missing trust signals (no SOC 2 / no third-party reviews schema), and product-attribute mismatches against the natural-language queries shoppers were running</w:t>
      </w:r>
      <w:r>
        <w:t xml:space="preserve"> </w:t>
      </w:r>
      <w:r>
        <w:t xml:space="preserve">- Mapped Dua’s win rate per AI model per SKU — baseline against three direct UK competitors</w:t>
      </w:r>
    </w:p>
    <w:p>
      <w:pPr>
        <w:pStyle w:val="BodyText"/>
      </w:pPr>
      <w:r>
        <w:rPr>
          <w:b/>
        </w:rPr>
        <w:t xml:space="preserve">Phase 2 — Optimisation (Days 8–21)</w:t>
      </w:r>
      <w:r>
        <w:t xml:space="preserve"> </w:t>
      </w:r>
      <w:r>
        <w:t xml:space="preserve">- AI rewrote product titles and descriptions with full attribute coverage (flavour profile, strength, session length, value)</w:t>
      </w:r>
      <w:r>
        <w:t xml:space="preserve"> </w:t>
      </w:r>
      <w:r>
        <w:t xml:space="preserve">- Auto-published JSON-LD structured data to every hero product page</w:t>
      </w:r>
      <w:r>
        <w:t xml:space="preserve"> </w:t>
      </w:r>
      <w:r>
        <w:t xml:space="preserve">- Generated the Universal Commerce Protocol (UCP) profile for Dua’s domain, making the merchant agent-readable for Google’s new shopping protocol</w:t>
      </w:r>
    </w:p>
    <w:p>
      <w:pPr>
        <w:pStyle w:val="BodyText"/>
      </w:pPr>
      <w:r>
        <w:rPr>
          <w:b/>
        </w:rPr>
        <w:t xml:space="preserve">Phase 3 — Measurement (Days 22+)</w:t>
      </w:r>
      <w:r>
        <w:t xml:space="preserve"> </w:t>
      </w:r>
      <w:r>
        <w:t xml:space="preserve">- Win-rate dashboard live with per-model trend lines</w:t>
      </w:r>
      <w:r>
        <w:t xml:space="preserve"> </w:t>
      </w:r>
      <w:r>
        <w:t xml:space="preserve">- Model-drift alerts active — when Gemini 3.1 → 3.2 shipped, écentic auto-triggered re-simulation across Dua’s catalogue within 24 hours</w:t>
      </w:r>
    </w:p>
    <w:p>
      <w:r>
        <w:pict>
          <v:rect style="width:0;height:1.5pt" o:hralign="center" o:hrstd="t" o:hr="t"/>
        </w:pict>
      </w:r>
    </w:p>
    <w:p>
      <w:pPr>
        <w:pStyle w:val="Heading2"/>
      </w:pPr>
      <w:bookmarkStart w:id="24" w:name="the-outcome"/>
      <w:r>
        <w:t xml:space="preserve">The outcome</w:t>
      </w:r>
      <w:bookmarkEnd w:id="24"/>
    </w:p>
    <w:p>
      <w:pPr>
        <w:pStyle w:val="FirstParagraph"/>
      </w:pPr>
      <w:r>
        <w:t xml:space="preserve">Measured directly through écentic’s agent-traffic instrumentation and win-rate simulations: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Before écentic</w:t>
            </w:r>
          </w:p>
        </w:tc>
        <w:tc>
          <w:tcPr>
            <w:tcBorders>
              <w:bottom w:val="single"/>
            </w:tcBorders>
            <w:vAlign w:val="bottom"/>
          </w:tcPr>
          <w:p>
            <w:pPr>
              <w:pStyle w:val="Compact"/>
              <w:jc w:val="left"/>
            </w:pPr>
            <w:r>
              <w:t xml:space="preserve">After écentic</w:t>
            </w:r>
          </w:p>
        </w:tc>
        <w:tc>
          <w:tcPr>
            <w:tcBorders>
              <w:bottom w:val="single"/>
            </w:tcBorders>
            <w:vAlign w:val="bottom"/>
          </w:tcPr>
          <w:p>
            <w:pPr>
              <w:pStyle w:val="Compact"/>
              <w:jc w:val="left"/>
            </w:pPr>
            <w:r>
              <w:t xml:space="preserve">Change</w:t>
            </w:r>
          </w:p>
        </w:tc>
      </w:tr>
      <w:tr>
        <w:tc>
          <w:p>
            <w:pPr>
              <w:pStyle w:val="Compact"/>
              <w:jc w:val="left"/>
            </w:pPr>
            <w:r>
              <w:t xml:space="preserve">Agent visibility (composite score across 4 models)</w:t>
            </w:r>
          </w:p>
        </w:tc>
        <w:tc>
          <w:p>
            <w:pPr>
              <w:pStyle w:val="Compact"/>
              <w:jc w:val="left"/>
            </w:pPr>
            <w:r>
              <w:t xml:space="preserve">Baseline</w:t>
            </w:r>
          </w:p>
        </w:tc>
        <w:tc>
          <w:p>
            <w:pPr>
              <w:pStyle w:val="Compact"/>
              <w:jc w:val="left"/>
            </w:pPr>
            <w:r>
              <w:t xml:space="preserve">+12 points</w:t>
            </w:r>
          </w:p>
        </w:tc>
        <w:tc>
          <w:p>
            <w:pPr>
              <w:pStyle w:val="Compact"/>
              <w:jc w:val="left"/>
            </w:pPr>
            <w:r>
              <w:rPr>
                <w:b/>
              </w:rPr>
              <w:t xml:space="preserve">+12 pts lift</w:t>
            </w:r>
          </w:p>
        </w:tc>
      </w:tr>
      <w:tr>
        <w:tc>
          <w:p>
            <w:pPr>
              <w:pStyle w:val="Compact"/>
              <w:jc w:val="left"/>
            </w:pPr>
            <w:r>
              <w:t xml:space="preserve">Win rate on</w:t>
            </w:r>
            <w:r>
              <w:t xml:space="preserve"> </w:t>
            </w:r>
            <w:r>
              <w:t xml:space="preserve">“</w:t>
            </w:r>
            <w:r>
              <w:t xml:space="preserve">best lounge in Greater London Area</w:t>
            </w:r>
            <w:r>
              <w:t xml:space="preserve">”</w:t>
            </w:r>
            <w:r>
              <w:t xml:space="preserve"> </w:t>
            </w:r>
            <w:r>
              <w:t xml:space="preserve">query</w:t>
            </w:r>
          </w:p>
        </w:tc>
        <w:tc>
          <w:p>
            <w:pPr>
              <w:pStyle w:val="Compact"/>
              <w:jc w:val="left"/>
            </w:pPr>
            <w:r>
              <w:t xml:space="preserve">0% (not appearing)</w:t>
            </w:r>
          </w:p>
        </w:tc>
        <w:tc>
          <w:p>
            <w:pPr>
              <w:pStyle w:val="Compact"/>
              <w:jc w:val="left"/>
            </w:pPr>
            <w:r>
              <w:t xml:space="preserve">Top-5 result</w:t>
            </w:r>
          </w:p>
        </w:tc>
        <w:tc>
          <w:p>
            <w:pPr>
              <w:pStyle w:val="Compact"/>
              <w:jc w:val="left"/>
            </w:pPr>
            <w:r>
              <w:rPr>
                <w:b/>
              </w:rPr>
              <w:t xml:space="preserve">0 → top 5</w:t>
            </w:r>
          </w:p>
        </w:tc>
      </w:tr>
      <w:tr>
        <w:tc>
          <w:p>
            <w:pPr>
              <w:pStyle w:val="Compact"/>
              <w:jc w:val="left"/>
            </w:pPr>
            <w:r>
              <w:t xml:space="preserve">Total simulations run on Dua’s catalogue</w:t>
            </w:r>
          </w:p>
        </w:tc>
        <w:tc>
          <w:p>
            <w:pPr>
              <w:pStyle w:val="Compact"/>
              <w:jc w:val="left"/>
            </w:pPr>
            <w:r>
              <w:t xml:space="preserve">0</w:t>
            </w:r>
          </w:p>
        </w:tc>
        <w:tc>
          <w:p>
            <w:pPr>
              <w:pStyle w:val="Compact"/>
              <w:jc w:val="left"/>
            </w:pPr>
            <w:r>
              <w:t xml:space="preserve">100+</w:t>
            </w:r>
          </w:p>
        </w:tc>
        <w:tc>
          <w:p>
            <w:pPr>
              <w:pStyle w:val="Compact"/>
              <w:jc w:val="left"/>
            </w:pPr>
            <w:r>
              <w:rPr>
                <w:b/>
              </w:rPr>
              <w:t xml:space="preserve">100+ unique simulations</w:t>
            </w:r>
          </w:p>
        </w:tc>
      </w:tr>
      <w:tr>
        <w:tc>
          <w:p>
            <w:pPr>
              <w:pStyle w:val="Compact"/>
              <w:jc w:val="left"/>
            </w:pPr>
            <w:r>
              <w:t xml:space="preserve">Time to first published optimisation</w:t>
            </w:r>
          </w:p>
        </w:tc>
        <w:tc>
          <w:p>
            <w:pPr>
              <w:pStyle w:val="Compact"/>
              <w:jc w:val="left"/>
            </w:pPr>
            <w:r>
              <w:t xml:space="preserve">n/a</w:t>
            </w:r>
          </w:p>
        </w:tc>
        <w:tc>
          <w:p>
            <w:pPr>
              <w:pStyle w:val="Compact"/>
              <w:jc w:val="left"/>
            </w:pPr>
            <w:r>
              <w:t xml:space="preserve">&lt; 24 hours from install</w:t>
            </w:r>
          </w:p>
        </w:tc>
        <w:tc>
          <w:p>
            <w:pPr>
              <w:pStyle w:val="Compact"/>
              <w:jc w:val="left"/>
            </w:pPr>
            <w:r>
              <w:t xml:space="preserve">—</w:t>
            </w:r>
          </w:p>
        </w:tc>
      </w:tr>
      <w:tr>
        <w:tc>
          <w:p>
            <w:pPr>
              <w:pStyle w:val="Compact"/>
              <w:jc w:val="left"/>
            </w:pPr>
            <w:r>
              <w:t xml:space="preserve">Acadamic-benchmark composite (ACES score)</w:t>
            </w:r>
          </w:p>
        </w:tc>
        <w:tc>
          <w:p>
            <w:pPr>
              <w:pStyle w:val="Compact"/>
              <w:jc w:val="left"/>
            </w:pPr>
            <w:r>
              <w:t xml:space="preserve">n/a</w:t>
            </w:r>
          </w:p>
        </w:tc>
        <w:tc>
          <w:p>
            <w:pPr>
              <w:pStyle w:val="Compact"/>
              <w:jc w:val="left"/>
            </w:pPr>
            <w:r>
              <w:t xml:space="preserve">Matched Columbia/Yale 12-15 pt ceiling</w:t>
            </w:r>
          </w:p>
        </w:tc>
        <w:tc>
          <w:p>
            <w:pPr>
              <w:pStyle w:val="Compact"/>
              <w:jc w:val="left"/>
            </w:pPr>
            <w:r>
              <w:t xml:space="preserve">Within top academic benchmarks</w:t>
            </w:r>
          </w:p>
        </w:tc>
      </w:tr>
    </w:tbl>
    <w:p>
      <w:pPr>
        <w:pStyle w:val="BodyText"/>
      </w:pPr>
      <w:r>
        <w:t xml:space="preserve">The</w:t>
      </w:r>
      <w:r>
        <w:t xml:space="preserve"> </w:t>
      </w:r>
      <w:r>
        <w:t xml:space="preserve">“</w:t>
      </w:r>
      <w:r>
        <w:t xml:space="preserve">0 → top-5 on Greater London Area</w:t>
      </w:r>
      <w:r>
        <w:t xml:space="preserve">”</w:t>
      </w:r>
      <w:r>
        <w:t xml:space="preserve"> </w:t>
      </w:r>
      <w:r>
        <w:t xml:space="preserve">result was the standout: a high-intent local query that Dua had been completely invisible on in agent shopping. After écentic’s optimisations, Dua started appearing in the top results across all four major AI shoppers.</w:t>
      </w:r>
    </w:p>
    <w:p>
      <w:r>
        <w:pict>
          <v:rect style="width:0;height:1.5pt" o:hralign="center" o:hrstd="t" o:hr="t"/>
        </w:pict>
      </w:r>
    </w:p>
    <w:p>
      <w:pPr>
        <w:pStyle w:val="Heading2"/>
      </w:pPr>
      <w:bookmarkStart w:id="25" w:name="what-dua-said"/>
      <w:r>
        <w:t xml:space="preserve">What Dua said</w:t>
      </w:r>
      <w:bookmarkEnd w:id="25"/>
    </w:p>
    <w:p>
      <w:pPr>
        <w:pStyle w:val="FirstParagraph"/>
      </w:pPr>
      <w:r>
        <w:t xml:space="preserve">The original quote from Armir, used across écentic’s marketing materials:</w:t>
      </w:r>
    </w:p>
    <w:p>
      <w:pPr>
        <w:pStyle w:val="BlockText"/>
      </w:pPr>
      <w:r>
        <w:t xml:space="preserve">“</w:t>
      </w:r>
      <w:r>
        <w:t xml:space="preserve">40% traffic drop after Gemini 3.1. We didn’t know why. We couldn’t fix it.</w:t>
      </w:r>
      <w:r>
        <w:t xml:space="preserve">”</w:t>
      </w:r>
    </w:p>
    <w:p>
      <w:pPr>
        <w:pStyle w:val="FirstParagraph"/>
      </w:pPr>
      <w:r>
        <w:t xml:space="preserve">Updated for context after the engagement:</w:t>
      </w:r>
    </w:p>
    <w:p>
      <w:pPr>
        <w:pStyle w:val="BlockText"/>
      </w:pPr>
      <w:r>
        <w:t xml:space="preserve">“</w:t>
      </w:r>
      <w:r>
        <w:t xml:space="preserve">écentic showed us exactly which AI agents were hurting us and shipped the fix. We’re now showing up in queries we were completely invisible on before.</w:t>
      </w:r>
      <w:r>
        <w:t xml:space="preserve">”</w:t>
      </w:r>
    </w:p>
    <w:p>
      <w:pPr>
        <w:pStyle w:val="FirstParagraph"/>
      </w:pPr>
      <w:r>
        <w:t xml:space="preserve">(Updated quote pending Armir’s written confirmation as of 2 June 2026 — verbal approval received.)</w:t>
      </w:r>
    </w:p>
    <w:p>
      <w:r>
        <w:pict>
          <v:rect style="width:0;height:1.5pt" o:hralign="center" o:hrstd="t" o:hr="t"/>
        </w:pict>
      </w:r>
    </w:p>
    <w:p>
      <w:pPr>
        <w:pStyle w:val="Heading2"/>
      </w:pPr>
      <w:bookmarkStart w:id="26" w:name="X1a4bcf0de3a43944ff05ee6b10f88151295f4be"/>
      <w:r>
        <w:t xml:space="preserve">Why this case study matters for investors</w:t>
      </w:r>
      <w:bookmarkEnd w:id="26"/>
    </w:p>
    <w:p>
      <w:pPr>
        <w:pStyle w:val="FirstParagraph"/>
      </w:pPr>
      <w:r>
        <w:t xml:space="preserve">Three things this engagement demonstrates that broader market data cannot:</w:t>
      </w:r>
    </w:p>
    <w:p>
      <w:pPr>
        <w:numPr>
          <w:ilvl w:val="0"/>
          <w:numId w:val="1001"/>
        </w:numPr>
      </w:pPr>
      <w:r>
        <w:rPr>
          <w:b/>
        </w:rPr>
        <w:t xml:space="preserve">The problem is real and acute.</w:t>
      </w:r>
      <w:r>
        <w:t xml:space="preserve"> </w:t>
      </w:r>
      <w:r>
        <w:t xml:space="preserve">A merchant with healthy traditional SEO and good operational fundamentals can still lose 40% of agent-driven traffic in a single AI model update. This is not a theoretical category.</w:t>
      </w:r>
    </w:p>
    <w:p>
      <w:pPr>
        <w:numPr>
          <w:ilvl w:val="0"/>
          <w:numId w:val="1001"/>
        </w:numPr>
      </w:pPr>
      <w:r>
        <w:rPr>
          <w:b/>
        </w:rPr>
        <w:t xml:space="preserve">The closed-loop fix works.</w:t>
      </w:r>
      <w:r>
        <w:t xml:space="preserve"> </w:t>
      </w:r>
      <w:r>
        <w:t xml:space="preserve">From OAuth install to first published optimisation: under 24 hours. From first published optimisation to measurable win-rate lift: under 14 days. The product is built for compressed feedback cycles, not multi-month consulting engagements.</w:t>
      </w:r>
    </w:p>
    <w:p>
      <w:pPr>
        <w:numPr>
          <w:ilvl w:val="0"/>
          <w:numId w:val="1001"/>
        </w:numPr>
      </w:pPr>
      <w:r>
        <w:rPr>
          <w:b/>
        </w:rPr>
        <w:t xml:space="preserve">The model-drift moat is operational.</w:t>
      </w:r>
      <w:r>
        <w:t xml:space="preserve"> </w:t>
      </w:r>
      <w:r>
        <w:t xml:space="preserve">When Gemini 3.1 → 3.2 shipped, écentic auto-triggered re-simulation within 24 hours. No human action required from the merchant. This is the part of écentic’s product that competitors structurally cannot replicate without our data corpus.</w:t>
      </w:r>
    </w:p>
    <w:p>
      <w:r>
        <w:pict>
          <v:rect style="width:0;height:1.5pt" o:hralign="center" o:hrstd="t" o:hr="t"/>
        </w:pict>
      </w:r>
    </w:p>
    <w:p>
      <w:pPr>
        <w:pStyle w:val="Heading2"/>
      </w:pPr>
      <w:bookmarkStart w:id="27" w:name="replicability"/>
      <w:r>
        <w:t xml:space="preserve">Replicability</w:t>
      </w:r>
      <w:bookmarkEnd w:id="27"/>
    </w:p>
    <w:p>
      <w:pPr>
        <w:pStyle w:val="FirstParagraph"/>
      </w:pPr>
      <w:r>
        <w:t xml:space="preserve">Dua’s category (shisha lifestyle in the UK) is not unique to this dynamic. The same pattern is observable in every product-comparison-heavy DTC category: beauty, supplements, electronics, home goods, fashion. écentic’s product is built to work the same way across all of them.</w:t>
      </w:r>
    </w:p>
    <w:p>
      <w:pPr>
        <w:pStyle w:val="BodyText"/>
      </w:pPr>
      <w:r>
        <w:t xml:space="preserve">Each new paying merchant on the platform extends the proprietary corpus — listing content × agent behaviour × win-rate outcome. The Dua engagement is one data point. The Year-1 target of 100–150 merchants compounds into roughly 50,000+ simulation datapoints per month, building the dataset that makes the next 100 customers easier to win and easier to retain.</w:t>
      </w:r>
    </w:p>
    <w:p>
      <w:pPr>
        <w:pStyle w:val="BodyText"/>
      </w:pPr>
      <w:r>
        <w:t xml:space="preserve">This is the case study we send investors who want to understand what</w:t>
      </w:r>
      <w:r>
        <w:t xml:space="preserve"> </w:t>
      </w:r>
      <w:r>
        <w:t xml:space="preserve">“</w:t>
      </w:r>
      <w:r>
        <w:t xml:space="preserve">live with paying customers</w:t>
      </w:r>
      <w:r>
        <w:t xml:space="preserve">”</w:t>
      </w:r>
      <w:r>
        <w:t xml:space="preserve"> </w:t>
      </w:r>
      <w:r>
        <w:t xml:space="preserve">actually means at écentic. It is not a sales demo. It is a paying merchant with measurable outcomes attributable to our product.</w:t>
      </w:r>
    </w:p>
    <w:sectPr/>
    <w:headerReference xmlns:r="http://schemas.openxmlformats.org/officeDocument/2006/relationships" w:type="default" r:id="rId9"/>
    <w:footerReference xmlns:r="http://schemas.openxmlformats.org/officeDocument/2006/relationships" w:type="default" r:id="rId10"/>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31B7A38" w:rsidTr="531B7A38" w14:paraId="29A8EC8A">
      <w:trPr>
        <w:trHeight w:val="300"/>
      </w:trPr>
      <w:tc>
        <w:tcPr>
          <w:tcW w:w="3005" w:type="dxa"/>
          <w:tcMar/>
        </w:tcPr>
        <w:p w:rsidR="531B7A38" w:rsidP="531B7A38" w:rsidRDefault="531B7A38" w14:paraId="36E1DEAD" w14:textId="598CD99D">
          <w:pPr>
            <w:pStyle w:val="Header"/>
            <w:bidi w:val="0"/>
            <w:ind w:left="-115"/>
            <w:jc w:val="left"/>
          </w:pPr>
          <w:r w:rsidR="531B7A38">
            <w:rPr/>
            <w:t>Confidential</w:t>
          </w:r>
        </w:p>
      </w:tc>
      <w:tc>
        <w:tcPr>
          <w:tcW w:w="3005" w:type="dxa"/>
          <w:tcMar/>
        </w:tcPr>
        <w:p w:rsidR="531B7A38" w:rsidP="531B7A38" w:rsidRDefault="531B7A38" w14:paraId="19B02DA2" w14:textId="5429FBFC">
          <w:pPr>
            <w:pStyle w:val="Header"/>
            <w:bidi w:val="0"/>
            <w:jc w:val="center"/>
          </w:pPr>
        </w:p>
      </w:tc>
      <w:tc>
        <w:tcPr>
          <w:tcW w:w="3005" w:type="dxa"/>
          <w:tcMar/>
        </w:tcPr>
        <w:p w:rsidR="531B7A38" w:rsidP="531B7A38" w:rsidRDefault="531B7A38" w14:paraId="6D3A759C" w14:textId="4E668502">
          <w:pPr>
            <w:pStyle w:val="Header"/>
            <w:bidi w:val="0"/>
            <w:ind w:right="-115"/>
            <w:jc w:val="right"/>
          </w:pPr>
          <w:r>
            <w:fldChar w:fldCharType="begin"/>
          </w:r>
          <w:r>
            <w:instrText xml:space="preserve">PAGE</w:instrText>
          </w:r>
          <w:r>
            <w:fldChar w:fldCharType="separate"/>
          </w:r>
          <w:r>
            <w:fldChar w:fldCharType="end"/>
          </w:r>
        </w:p>
      </w:tc>
    </w:tr>
  </w:tbl>
  <w:p w:rsidR="531B7A38" w:rsidP="531B7A38" w:rsidRDefault="531B7A38" w14:paraId="747AEE13" w14:textId="29315CB8">
    <w:pPr>
      <w:pStyle w:val="Footer"/>
      <w:bidi w:val="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135"/>
    </w:tblGrid>
    <w:tr w:rsidR="531B7A38" w:rsidTr="531B7A38" w14:paraId="66CA1F85">
      <w:trPr>
        <w:trHeight w:val="300"/>
      </w:trPr>
      <w:tc>
        <w:tcPr>
          <w:tcW w:w="3005" w:type="dxa"/>
          <w:tcMar/>
        </w:tcPr>
        <w:p w:rsidR="531B7A38" w:rsidP="531B7A38" w:rsidRDefault="531B7A38" w14:paraId="5A971497" w14:textId="4C9EEE04">
          <w:pPr>
            <w:pStyle w:val="Header"/>
            <w:bidi w:val="0"/>
            <w:ind w:left="-115"/>
            <w:jc w:val="left"/>
          </w:pPr>
          <w:r w:rsidR="531B7A38">
            <w:drawing>
              <wp:inline wp14:editId="20E48AA8" wp14:anchorId="2DAC9DB7">
                <wp:extent cx="1755521" cy="504825"/>
                <wp:effectExtent l="0" t="0" r="0" b="0"/>
                <wp:docPr id="1166141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66141909" name="Picture 116614190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8637033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55521" cy="504825"/>
                        </a:xfrm>
                        <a:prstGeom xmlns:a="http://schemas.openxmlformats.org/drawingml/2006/main" prst="rect">
                          <a:avLst xmlns:a="http://schemas.openxmlformats.org/drawingml/2006/main"/>
                        </a:prstGeom>
                      </pic:spPr>
                    </pic:pic>
                  </a:graphicData>
                </a:graphic>
              </wp:inline>
            </w:drawing>
          </w:r>
        </w:p>
      </w:tc>
      <w:tc>
        <w:tcPr>
          <w:tcW w:w="3005" w:type="dxa"/>
          <w:tcMar/>
        </w:tcPr>
        <w:p w:rsidR="531B7A38" w:rsidP="531B7A38" w:rsidRDefault="531B7A38" w14:paraId="58DE79C7" w14:textId="2904561D">
          <w:pPr>
            <w:pStyle w:val="Header"/>
            <w:bidi w:val="0"/>
            <w:jc w:val="center"/>
          </w:pPr>
        </w:p>
      </w:tc>
      <w:tc>
        <w:tcPr>
          <w:tcW w:w="3135" w:type="dxa"/>
          <w:tcMar/>
        </w:tcPr>
        <w:p w:rsidR="531B7A38" w:rsidP="531B7A38" w:rsidRDefault="531B7A38" w14:paraId="4E770491" w14:textId="157EA298">
          <w:pPr>
            <w:pStyle w:val="Header"/>
            <w:bidi w:val="0"/>
            <w:ind w:right="-115"/>
            <w:jc w:val="right"/>
          </w:pPr>
          <w:r w:rsidR="531B7A38">
            <w:rPr/>
            <w:t>Data Room</w:t>
          </w:r>
        </w:p>
        <w:p w:rsidR="531B7A38" w:rsidP="531B7A38" w:rsidRDefault="531B7A38" w14:paraId="5197A0A1" w14:textId="7E910E8A">
          <w:pPr>
            <w:pStyle w:val="Header"/>
            <w:bidi w:val="0"/>
            <w:ind w:right="-115"/>
            <w:jc w:val="right"/>
          </w:pPr>
          <w:r w:rsidR="531B7A38">
            <w:rPr/>
            <w:t>Created at: 11.06.2026</w:t>
          </w:r>
        </w:p>
        <w:p w:rsidR="531B7A38" w:rsidP="531B7A38" w:rsidRDefault="531B7A38" w14:paraId="5479D5A0" w14:textId="6D2AF88C">
          <w:pPr>
            <w:pStyle w:val="Header"/>
            <w:bidi w:val="0"/>
            <w:ind w:right="-115"/>
            <w:jc w:val="right"/>
          </w:pPr>
          <w:r w:rsidR="531B7A38">
            <w:rPr/>
            <w:t>Authored by: Xhurian Shaba</w:t>
          </w:r>
        </w:p>
      </w:tc>
    </w:tr>
  </w:tbl>
  <w:p w:rsidR="531B7A38" w:rsidP="531B7A38" w:rsidRDefault="531B7A38" w14:paraId="4B8EF386" w14:textId="48A7E038">
    <w:pPr>
      <w:pStyle w:val="Header"/>
      <w:bidi w:val="0"/>
    </w:pP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dirty"/>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31B7A38"/>
    <w:pPr>
      <w:tabs>
        <w:tab w:val="center" w:leader="none" w:pos="4680"/>
        <w:tab w:val="right" w:leader="none" w:pos="9360"/>
      </w:tabs>
      <w:spacing w:after="0" w:line="240" w:lineRule="auto"/>
    </w:pPr>
  </w:style>
  <w:style w:type="paragraph" w:styleId="Footer">
    <w:uiPriority w:val="99"/>
    <w:name w:val="footer"/>
    <w:basedOn w:val="Normal"/>
    <w:unhideWhenUsed/>
    <w:rsid w:val="531B7A3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xml"/><Relationship Id="rId10" Type="http://schemas.openxmlformats.org/officeDocument/2006/relationships/footer" Target="footer.xml"/></Relationship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9cefd545ed1e4998" /><Relationship Type="http://schemas.openxmlformats.org/officeDocument/2006/relationships/footer" Target="/word/footer.xml" Id="R084a1feab95247cf" /></Relationships>
</file>

<file path=word/_rels/footnotes.xml.rels><?xml version="1.0" encoding="UTF-8"?>
<Relationships xmlns="http://schemas.openxmlformats.org/package/2006/relationships" />
</file>

<file path=word/_rels/header.xml.rels>&#65279;<?xml version="1.0" encoding="utf-8"?><Relationships xmlns="http://schemas.openxmlformats.org/package/2006/relationships"><Relationship Type="http://schemas.openxmlformats.org/officeDocument/2006/relationships/image" Target="/media/image.png" Id="rId178637033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2026-06-11T12:36:50Z</dcterms:created>
  <dcterms:modified xsi:type="dcterms:W3CDTF">2026-06-11T12:36:50Z</dcterms:modified>
</cp:coreProperties>
</file>

<file path=docProps/custom.xml><?xml version="1.0" encoding="utf-8"?>
<Properties xmlns="http://schemas.openxmlformats.org/officeDocument/2006/custom-properties" xmlns:vt="http://schemas.openxmlformats.org/officeDocument/2006/docPropsVTypes"/>
</file>