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.xml" ContentType="application/vnd.openxmlformats-officedocument.wordprocessingml.header+xml"/>
  <Override PartName="/word/footer.xml" ContentType="application/vnd.openxmlformats-officedocument.wordprocessingml.footer+xml"/>
  <Default Extension="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écentic-advisors"/>
      <w:r>
        <w:t xml:space="preserve">écentic — Advisors</w:t>
      </w:r>
      <w:bookmarkEnd w:id="20"/>
    </w:p>
    <w:p>
      <w:pPr>
        <w:pStyle w:val="FirstParagraph"/>
      </w:pPr>
      <w:r>
        <w:rPr>
          <w:b/>
        </w:rPr>
        <w:t xml:space="preserve">Last updated:</w:t>
      </w:r>
      <w:r>
        <w:t xml:space="preserve"> </w:t>
      </w:r>
      <w:r>
        <w:t xml:space="preserve">2026-06-02</w:t>
      </w:r>
    </w:p>
    <w:p>
      <w:pPr>
        <w:pStyle w:val="Heading2"/>
      </w:pPr>
      <w:bookmarkStart w:id="21" w:name="current-state"/>
      <w:r>
        <w:t xml:space="preserve">Current state</w:t>
      </w:r>
      <w:bookmarkEnd w:id="21"/>
    </w:p>
    <w:p>
      <w:pPr>
        <w:pStyle w:val="FirstParagraph"/>
      </w:pPr>
      <w:r>
        <w:rPr>
          <w:b/>
        </w:rPr>
        <w:t xml:space="preserve">écentic does not have any formal, contracted advisors as of 2 June 2026.</w:t>
      </w:r>
    </w:p>
    <w:p>
      <w:pPr>
        <w:pStyle w:val="BodyText"/>
      </w:pPr>
      <w:r>
        <w:t xml:space="preserve">This is intentional at our current stage. We have prioritised conserving founder equity and have not yet found a candidate whose specific contribution warrants a formal advisor grant. Informal mentorship from accelerator and ecosystem partners has covered most of what an advisor would otherwise provide.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e9f6408cb71e95e5b0a865e1327b663e9d66ce5"/>
      <w:r>
        <w:t xml:space="preserve">Planned advisor — Fractional GTM Advisor (post-raise)</w:t>
      </w:r>
      <w:bookmarkEnd w:id="22"/>
    </w:p>
    <w:p>
      <w:pPr>
        <w:pStyle w:val="FirstParagraph"/>
      </w:pPr>
      <w:r>
        <w:t xml:space="preserve">The €500K raise includes budget for one fractional advisor, starting M2 post-close. This is the only advisor relationship we plan to formalise in Year 1.</w:t>
      </w:r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Role title</w:t>
            </w:r>
          </w:p>
        </w:tc>
        <w:tc>
          <w:p>
            <w:pPr>
              <w:pStyle w:val="Compact"/>
              <w:jc w:val="left"/>
            </w:pPr>
            <w:r>
              <w:t xml:space="preserve">Fractional Go-to-Market Advisor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Engagement type</w:t>
            </w:r>
          </w:p>
        </w:tc>
        <w:tc>
          <w:p>
            <w:pPr>
              <w:pStyle w:val="Compact"/>
              <w:jc w:val="left"/>
            </w:pPr>
            <w:r>
              <w:t xml:space="preserve">Cash retainer (€2,500/mo) + small equity grant (0.25%–0.5% from ESOP pool)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Commitment</w:t>
            </w:r>
          </w:p>
        </w:tc>
        <w:tc>
          <w:p>
            <w:pPr>
              <w:pStyle w:val="Compact"/>
              <w:jc w:val="left"/>
            </w:pPr>
            <w:r>
              <w:t xml:space="preserve">Quarterly time commitment, weekly written input, ad-hoc intros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Reporting</w:t>
            </w:r>
          </w:p>
        </w:tc>
        <w:tc>
          <w:p>
            <w:pPr>
              <w:pStyle w:val="Compact"/>
              <w:jc w:val="left"/>
            </w:pPr>
            <w:r>
              <w:t xml:space="preserve">To Xhurian (CEO)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12 months, reviewed at 6 months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Target profile</w:t>
            </w:r>
          </w:p>
        </w:tc>
        <w:tc>
          <w:p>
            <w:pPr>
              <w:pStyle w:val="Compact"/>
              <w:jc w:val="left"/>
            </w:pPr>
            <w:r>
              <w:t xml:space="preserve">Operator with US-side B2B SaaS GTM experience; prior wins in commerce / merchant tooling or marketing technology; connected to US seed/Series A investor network</w:t>
            </w:r>
          </w:p>
        </w:tc>
      </w:tr>
    </w:tbl>
    <w:p>
      <w:pPr>
        <w:pStyle w:val="BodyText"/>
      </w:pPr>
      <w:r>
        <w:rPr>
          <w:b/>
        </w:rPr>
        <w:t xml:space="preserve">Why we are hiring this advisor specifically:</w:t>
      </w:r>
    </w:p>
    <w:p>
      <w:pPr>
        <w:numPr>
          <w:ilvl w:val="0"/>
          <w:numId w:val="1001"/>
        </w:numPr>
        <w:pStyle w:val="Compact"/>
      </w:pPr>
      <w:r>
        <w:t xml:space="preserve">US-side go-to-market is the load-bearing assumption of the €500K raise. An advisor who has run a US GTM motion at our stage compresses our learning curve materially.</w:t>
      </w:r>
    </w:p>
    <w:p>
      <w:pPr>
        <w:numPr>
          <w:ilvl w:val="0"/>
          <w:numId w:val="1001"/>
        </w:numPr>
        <w:pStyle w:val="Compact"/>
      </w:pPr>
      <w:r>
        <w:t xml:space="preserve">The advisor brings warm intros to US investors, US merchants, and US sales hires — accelerating each of those funnels.</w:t>
      </w:r>
    </w:p>
    <w:p>
      <w:pPr>
        <w:numPr>
          <w:ilvl w:val="0"/>
          <w:numId w:val="1001"/>
        </w:numPr>
        <w:pStyle w:val="Compact"/>
      </w:pPr>
      <w:r>
        <w:t xml:space="preserve">The cost is a small fraction of either a full-time hire or a board seat, and the equity grant aligns incentives.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d2501502befe4f70a990c4dc019e3a334473a13"/>
      <w:r>
        <w:t xml:space="preserve">Informal mentorship and ecosystem support (no formal contract)</w:t>
      </w:r>
      <w:bookmarkEnd w:id="23"/>
    </w:p>
    <w:p>
      <w:pPr>
        <w:pStyle w:val="FirstParagraph"/>
      </w:pPr>
      <w:r>
        <w:t xml:space="preserve">These are people who have provided meaningful guidance to écentic but who are not under any formal advisor contract:</w:t>
      </w:r>
    </w:p>
    <w:p>
      <w:pPr>
        <w:pStyle w:val="Heading3"/>
      </w:pPr>
      <w:bookmarkStart w:id="24" w:name="julien-coustary"/>
      <w:r>
        <w:t xml:space="preserve">Julien Coustary</w:t>
      </w:r>
      <w:bookmarkEnd w:id="24"/>
    </w:p>
    <w:p>
      <w:pPr>
        <w:pStyle w:val="FirstParagraph"/>
      </w:pPr>
      <w:r>
        <w:rPr>
          <w:b/>
        </w:rPr>
        <w:t xml:space="preserve">Affiliation:</w:t>
      </w:r>
      <w:r>
        <w:t xml:space="preserve"> </w:t>
      </w:r>
      <w:r>
        <w:t xml:space="preserve">Founder of FRC (Fil Rouge Capital), YC alumnus.</w:t>
      </w:r>
      <w:r>
        <w:t xml:space="preserve"> </w:t>
      </w:r>
      <w:r>
        <w:rPr>
          <w:b/>
        </w:rPr>
        <w:t xml:space="preserve">Engagement type:</w:t>
      </w:r>
      <w:r>
        <w:t xml:space="preserve"> </w:t>
      </w:r>
      <w:r>
        <w:t xml:space="preserve">Mentor relationship via the FRC accelerator programme.</w:t>
      </w:r>
      <w:r>
        <w:t xml:space="preserve"> </w:t>
      </w:r>
      <w:r>
        <w:rPr>
          <w:b/>
        </w:rPr>
        <w:t xml:space="preserve">Contribution:</w:t>
      </w:r>
      <w:r>
        <w:t xml:space="preserve"> </w:t>
      </w:r>
      <w:r>
        <w:t xml:space="preserve">Pitch and fundraising preparation, YC application support, peer-network introductions.</w:t>
      </w:r>
    </w:p>
    <w:p>
      <w:pPr>
        <w:pStyle w:val="Heading3"/>
      </w:pPr>
      <w:bookmarkStart w:id="25" w:name="plug-and-play-tirana-programme-mentors"/>
      <w:r>
        <w:t xml:space="preserve">Plug and Play Tirana programme mentors</w:t>
      </w:r>
      <w:bookmarkEnd w:id="25"/>
    </w:p>
    <w:p>
      <w:pPr>
        <w:pStyle w:val="FirstParagraph"/>
      </w:pPr>
      <w:r>
        <w:rPr>
          <w:b/>
        </w:rPr>
        <w:t xml:space="preserve">Affiliation:</w:t>
      </w:r>
      <w:r>
        <w:t xml:space="preserve"> </w:t>
      </w:r>
      <w:r>
        <w:t xml:space="preserve">Mentors and corporate ventures team within the Plug and Play Tirana cohort programme.</w:t>
      </w:r>
      <w:r>
        <w:t xml:space="preserve"> </w:t>
      </w:r>
      <w:r>
        <w:rPr>
          <w:b/>
        </w:rPr>
        <w:t xml:space="preserve">Engagement type:</w:t>
      </w:r>
      <w:r>
        <w:t xml:space="preserve"> </w:t>
      </w:r>
      <w:r>
        <w:t xml:space="preserve">Cohort-based mentorship, no individual contracts.</w:t>
      </w:r>
      <w:r>
        <w:t xml:space="preserve"> </w:t>
      </w:r>
      <w:r>
        <w:rPr>
          <w:b/>
        </w:rPr>
        <w:t xml:space="preserve">Contribution:</w:t>
      </w:r>
      <w:r>
        <w:t xml:space="preserve"> </w:t>
      </w:r>
      <w:r>
        <w:t xml:space="preserve">Enterprise pipeline introductions (Carrefour, eBay, Inditex), pitch refinement, programme-wide events including Demo Day exposure.</w:t>
      </w:r>
    </w:p>
    <w:p>
      <w:pPr>
        <w:pStyle w:val="Heading3"/>
      </w:pPr>
      <w:bookmarkStart w:id="26" w:name="red-bull-basement-programme-mentors"/>
      <w:r>
        <w:t xml:space="preserve">Red Bull Basement programme mentors</w:t>
      </w:r>
      <w:bookmarkEnd w:id="26"/>
    </w:p>
    <w:p>
      <w:pPr>
        <w:pStyle w:val="FirstParagraph"/>
      </w:pPr>
      <w:r>
        <w:rPr>
          <w:b/>
        </w:rPr>
        <w:t xml:space="preserve">Affiliation:</w:t>
      </w:r>
      <w:r>
        <w:t xml:space="preserve"> </w:t>
      </w:r>
      <w:r>
        <w:t xml:space="preserve">Mentors assigned during the Red Bull Basement Albania programme and World Final cohort.</w:t>
      </w:r>
      <w:r>
        <w:t xml:space="preserve"> </w:t>
      </w:r>
      <w:r>
        <w:rPr>
          <w:b/>
        </w:rPr>
        <w:t xml:space="preserve">Engagement type:</w:t>
      </w:r>
      <w:r>
        <w:t xml:space="preserve"> </w:t>
      </w:r>
      <w:r>
        <w:t xml:space="preserve">Programme-period engagement (currently 3 mentors selected for 1:1s during the World Final — Mikhail London at Pikd, Francisco Cruz-Mendoza at Replit, Kamil Aujesky at Don’t Die Busy Club).</w:t>
      </w:r>
      <w:r>
        <w:t xml:space="preserve"> </w:t>
      </w:r>
      <w:r>
        <w:rPr>
          <w:b/>
        </w:rPr>
        <w:t xml:space="preserve">Contribution:</w:t>
      </w:r>
      <w:r>
        <w:t xml:space="preserve"> </w:t>
      </w:r>
      <w:r>
        <w:t xml:space="preserve">Pitch coaching, US-market introductions, content positioning.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future-advisor-roadmap"/>
      <w:r>
        <w:t xml:space="preserve">Future advisor roadmap</w:t>
      </w:r>
      <w:bookmarkEnd w:id="27"/>
    </w:p>
    <w:p>
      <w:pPr>
        <w:pStyle w:val="FirstParagraph"/>
      </w:pPr>
      <w:r>
        <w:t xml:space="preserve">Beyond the fractional GTM advisor planned for Year 1, the next likely additions are: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Advisor profile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Year 2 (post-Series A)</w:t>
            </w:r>
          </w:p>
        </w:tc>
        <w:tc>
          <w:p>
            <w:pPr>
              <w:pStyle w:val="Compact"/>
              <w:jc w:val="left"/>
            </w:pPr>
            <w:r>
              <w:t xml:space="preserve">Independent board member with US SaaS C-level background</w:t>
            </w:r>
          </w:p>
        </w:tc>
        <w:tc>
          <w:p>
            <w:pPr>
              <w:pStyle w:val="Compact"/>
              <w:jc w:val="left"/>
            </w:pPr>
            <w:r>
              <w:t xml:space="preserve">Governance + investor signal as we move into growth stage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Year 2</w:t>
            </w:r>
          </w:p>
        </w:tc>
        <w:tc>
          <w:p>
            <w:pPr>
              <w:pStyle w:val="Compact"/>
              <w:jc w:val="left"/>
            </w:pPr>
            <w:r>
              <w:t xml:space="preserve">Enterprise sales advisor (ex-Salesforce, Adobe, Klaviyo VP-level)</w:t>
            </w:r>
          </w:p>
        </w:tc>
        <w:tc>
          <w:p>
            <w:pPr>
              <w:pStyle w:val="Compact"/>
              <w:jc w:val="left"/>
            </w:pPr>
            <w:r>
              <w:t xml:space="preserve">Once enterprise pipeline matures, specialised advisor for procurement, security review, multi-stakeholder selling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Year 2</w:t>
            </w:r>
          </w:p>
        </w:tc>
        <w:tc>
          <w:p>
            <w:pPr>
              <w:pStyle w:val="Compact"/>
              <w:jc w:val="left"/>
            </w:pPr>
            <w:r>
              <w:t xml:space="preserve">Payments / fintech advisor</w:t>
            </w:r>
          </w:p>
        </w:tc>
        <w:tc>
          <w:p>
            <w:pPr>
              <w:pStyle w:val="Compact"/>
              <w:jc w:val="left"/>
            </w:pPr>
            <w:r>
              <w:t xml:space="preserve">When the UCP-for-payments expansion kicks off, an advisor with payment-network or processor background unlocks regulatory and partnership conversations</w:t>
            </w:r>
          </w:p>
        </w:tc>
      </w:tr>
    </w:tbl>
    <w:p>
      <w:pPr>
        <w:pStyle w:val="BodyText"/>
      </w:pPr>
      <w:r>
        <w:t xml:space="preserve">These additions are not budgeted into the current €500K raise and would come from Year-2 revenue + Series 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how-we-evaluate-prospective-advisors"/>
      <w:r>
        <w:t xml:space="preserve">How we evaluate prospective advisors</w:t>
      </w:r>
      <w:bookmarkEnd w:id="28"/>
    </w:p>
    <w:p>
      <w:pPr>
        <w:pStyle w:val="FirstParagraph"/>
      </w:pPr>
      <w:r>
        <w:t xml:space="preserve">When considering any formal advisor: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Specific contribution.</w:t>
      </w:r>
      <w:r>
        <w:t xml:space="preserve"> </w:t>
      </w:r>
      <w:r>
        <w:t xml:space="preserve">What can this person do that a founder, freelancer, or paid consultant cannot? If unclear, no advisor relationship.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Time commitment.</w:t>
      </w:r>
      <w:r>
        <w:t xml:space="preserve"> </w:t>
      </w:r>
      <w:r>
        <w:t xml:space="preserve">Real availability for weekly written input + quarterly working sessions. No</w:t>
      </w:r>
      <w:r>
        <w:t xml:space="preserve"> </w:t>
      </w:r>
      <w:r>
        <w:t xml:space="preserve">“</w:t>
      </w:r>
      <w:r>
        <w:t xml:space="preserve">name-only</w:t>
      </w:r>
      <w:r>
        <w:t xml:space="preserve">”</w:t>
      </w:r>
      <w:r>
        <w:t xml:space="preserve"> </w:t>
      </w:r>
      <w:r>
        <w:t xml:space="preserve">advisors.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Equity range.</w:t>
      </w:r>
      <w:r>
        <w:t xml:space="preserve"> </w:t>
      </w:r>
      <w:r>
        <w:t xml:space="preserve">0.1%–1.0% on a 2-year vesting schedule, double-trigger acceleration on Change of Control. No upfront grants without service requirement.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Mutual fit.</w:t>
      </w:r>
      <w:r>
        <w:t xml:space="preserve"> </w:t>
      </w:r>
      <w:r>
        <w:t xml:space="preserve">A genuine endorsement of écentic’s strategy and a working chemistry with the three founders.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 conflicts.</w:t>
      </w:r>
      <w:r>
        <w:t xml:space="preserve"> </w:t>
      </w:r>
      <w:r>
        <w:t xml:space="preserve">No advisor who serves a direct competitor or who has a structural conflict with the merchant or payment ecosystem we operate in.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advisor-agreement-template"/>
      <w:r>
        <w:t xml:space="preserve">Advisor agreement template</w:t>
      </w:r>
      <w:bookmarkEnd w:id="29"/>
    </w:p>
    <w:p>
      <w:pPr>
        <w:pStyle w:val="FirstParagraph"/>
      </w:pPr>
      <w:r>
        <w:t xml:space="preserve">When the fractional GTM advisor is contracted, the engagement will be governed by a written advisor agreement based on the Founder Institute / SVB advisor agreement standards, adapted for Albanian SHPK governance. The template includes:</w:t>
      </w:r>
    </w:p>
    <w:p>
      <w:pPr>
        <w:numPr>
          <w:ilvl w:val="0"/>
          <w:numId w:val="1003"/>
        </w:numPr>
        <w:pStyle w:val="Compact"/>
      </w:pPr>
      <w:r>
        <w:t xml:space="preserve">Defined services and time commitment</w:t>
      </w:r>
    </w:p>
    <w:p>
      <w:pPr>
        <w:numPr>
          <w:ilvl w:val="0"/>
          <w:numId w:val="1003"/>
        </w:numPr>
        <w:pStyle w:val="Compact"/>
      </w:pPr>
      <w:r>
        <w:t xml:space="preserve">Equity grant + cash retainer terms</w:t>
      </w:r>
    </w:p>
    <w:p>
      <w:pPr>
        <w:numPr>
          <w:ilvl w:val="0"/>
          <w:numId w:val="1003"/>
        </w:numPr>
        <w:pStyle w:val="Compact"/>
      </w:pPr>
      <w:r>
        <w:t xml:space="preserve">2-year vesting schedule with 1-year cliff</w:t>
      </w:r>
    </w:p>
    <w:p>
      <w:pPr>
        <w:numPr>
          <w:ilvl w:val="0"/>
          <w:numId w:val="1003"/>
        </w:numPr>
        <w:pStyle w:val="Compact"/>
      </w:pPr>
      <w:r>
        <w:t xml:space="preserve">Double-trigger acceleration on Change of Control</w:t>
      </w:r>
    </w:p>
    <w:p>
      <w:pPr>
        <w:numPr>
          <w:ilvl w:val="0"/>
          <w:numId w:val="1003"/>
        </w:numPr>
        <w:pStyle w:val="Compact"/>
      </w:pPr>
      <w:r>
        <w:t xml:space="preserve">IP assignment for any work product</w:t>
      </w:r>
    </w:p>
    <w:p>
      <w:pPr>
        <w:numPr>
          <w:ilvl w:val="0"/>
          <w:numId w:val="1003"/>
        </w:numPr>
        <w:pStyle w:val="Compact"/>
      </w:pPr>
      <w:r>
        <w:t xml:space="preserve">Confidentiality and non-compete (limited scope)</w:t>
      </w:r>
    </w:p>
    <w:p>
      <w:pPr>
        <w:numPr>
          <w:ilvl w:val="0"/>
          <w:numId w:val="1003"/>
        </w:numPr>
        <w:pStyle w:val="Compact"/>
      </w:pPr>
      <w:r>
        <w:t xml:space="preserve">Termination and equity treatment on termination</w:t>
      </w:r>
    </w:p>
    <w:p>
      <w:pPr>
        <w:pStyle w:val="FirstParagraph"/>
      </w:pPr>
      <w:r>
        <w:t xml:space="preserve">The template will be added to this folder when the first advisor is signed.</w:t>
      </w:r>
    </w:p>
    <w:sectPr/>
    <w:headerReference xmlns:r="http://schemas.openxmlformats.org/officeDocument/2006/relationships" w:type="default" r:id="rId9"/>
    <w:footerReference xmlns:r="http://schemas.openxmlformats.org/officeDocument/2006/relationships" w:type="default" r:id="rId10"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31B7A38" w:rsidTr="531B7A38" w14:paraId="29A8EC8A">
      <w:trPr>
        <w:trHeight w:val="300"/>
      </w:trPr>
      <w:tc>
        <w:tcPr>
          <w:tcW w:w="3005" w:type="dxa"/>
          <w:tcMar/>
        </w:tcPr>
        <w:p w:rsidR="531B7A38" w:rsidP="531B7A38" w:rsidRDefault="531B7A38" w14:paraId="36E1DEAD" w14:textId="598CD99D">
          <w:pPr>
            <w:pStyle w:val="Header"/>
            <w:bidi w:val="0"/>
            <w:ind w:left="-115"/>
            <w:jc w:val="left"/>
          </w:pPr>
          <w:r w:rsidR="531B7A38">
            <w:rPr/>
            <w:t>Confidential</w:t>
          </w:r>
        </w:p>
      </w:tc>
      <w:tc>
        <w:tcPr>
          <w:tcW w:w="3005" w:type="dxa"/>
          <w:tcMar/>
        </w:tcPr>
        <w:p w:rsidR="531B7A38" w:rsidP="531B7A38" w:rsidRDefault="531B7A38" w14:paraId="19B02DA2" w14:textId="5429FBF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31B7A38" w:rsidP="531B7A38" w:rsidRDefault="531B7A38" w14:paraId="6D3A759C" w14:textId="4E668502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531B7A38" w:rsidP="531B7A38" w:rsidRDefault="531B7A38" w14:paraId="747AEE13" w14:textId="29315CB8">
    <w:pPr>
      <w:pStyle w:val="Footer"/>
      <w:bidi w:val="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135"/>
    </w:tblGrid>
    <w:tr w:rsidR="531B7A38" w:rsidTr="531B7A38" w14:paraId="66CA1F85">
      <w:trPr>
        <w:trHeight w:val="300"/>
      </w:trPr>
      <w:tc>
        <w:tcPr>
          <w:tcW w:w="3005" w:type="dxa"/>
          <w:tcMar/>
        </w:tcPr>
        <w:p w:rsidR="531B7A38" w:rsidP="531B7A38" w:rsidRDefault="531B7A38" w14:paraId="5A971497" w14:textId="4C9EEE04">
          <w:pPr>
            <w:pStyle w:val="Header"/>
            <w:bidi w:val="0"/>
            <w:ind w:left="-115"/>
            <w:jc w:val="left"/>
          </w:pPr>
          <w:r w:rsidR="531B7A38">
            <w:drawing>
              <wp:inline wp14:editId="20E48AA8" wp14:anchorId="2DAC9DB7">
                <wp:extent cx="1755521" cy="504825"/>
                <wp:effectExtent l="0" t="0" r="0" b="0"/>
                <wp:docPr id="1166141909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166141909" name="Picture 1166141909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786370339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55521" cy="5048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  <w:tcMar/>
        </w:tcPr>
        <w:p w:rsidR="531B7A38" w:rsidP="531B7A38" w:rsidRDefault="531B7A38" w14:paraId="58DE79C7" w14:textId="2904561D">
          <w:pPr>
            <w:pStyle w:val="Header"/>
            <w:bidi w:val="0"/>
            <w:jc w:val="center"/>
          </w:pPr>
        </w:p>
      </w:tc>
      <w:tc>
        <w:tcPr>
          <w:tcW w:w="3135" w:type="dxa"/>
          <w:tcMar/>
        </w:tcPr>
        <w:p w:rsidR="531B7A38" w:rsidP="531B7A38" w:rsidRDefault="531B7A38" w14:paraId="4E770491" w14:textId="157EA298">
          <w:pPr>
            <w:pStyle w:val="Header"/>
            <w:bidi w:val="0"/>
            <w:ind w:right="-115"/>
            <w:jc w:val="right"/>
          </w:pPr>
          <w:r w:rsidR="531B7A38">
            <w:rPr/>
            <w:t>Data Room</w:t>
          </w:r>
        </w:p>
        <w:p w:rsidR="531B7A38" w:rsidP="531B7A38" w:rsidRDefault="531B7A38" w14:paraId="5197A0A1" w14:textId="7E910E8A">
          <w:pPr>
            <w:pStyle w:val="Header"/>
            <w:bidi w:val="0"/>
            <w:ind w:right="-115"/>
            <w:jc w:val="right"/>
          </w:pPr>
          <w:r w:rsidR="531B7A38">
            <w:rPr/>
            <w:t>Created at: 11.06.2026</w:t>
          </w:r>
        </w:p>
        <w:p w:rsidR="531B7A38" w:rsidP="531B7A38" w:rsidRDefault="531B7A38" w14:paraId="5479D5A0" w14:textId="6D2AF88C">
          <w:pPr>
            <w:pStyle w:val="Header"/>
            <w:bidi w:val="0"/>
            <w:ind w:right="-115"/>
            <w:jc w:val="right"/>
          </w:pPr>
          <w:r w:rsidR="531B7A38">
            <w:rPr/>
            <w:t>Authored by: Xhurian Shaba</w:t>
          </w:r>
        </w:p>
      </w:tc>
    </w:tr>
  </w:tbl>
  <w:p w:rsidR="531B7A38" w:rsidP="531B7A38" w:rsidRDefault="531B7A38" w14:paraId="4B8EF386" w14:textId="48A7E03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dirty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31B7A3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31B7A3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.xml"/><Relationship Id="rId10" Type="http://schemas.openxmlformats.org/officeDocument/2006/relationships/footer" Target="footer.xml"/></Relationship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9cefd545ed1e4998" /><Relationship Type="http://schemas.openxmlformats.org/officeDocument/2006/relationships/footer" Target="/word/footer.xml" Id="R084a1feab95247cf" /></Relationships>
</file>

<file path=word/_rels/footnotes.xml.rels><?xml version="1.0" encoding="UTF-8"?>
<Relationships xmlns="http://schemas.openxmlformats.org/package/2006/relationships" /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17863703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2026-06-11T12:37:04Z</dcterms:created>
  <dcterms:modified xsi:type="dcterms:W3CDTF">2026-06-11T12:37:04Z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