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privacy-policy"/>
      <w:r>
        <w:t xml:space="preserve">écentic — Privacy Policy</w:t>
      </w:r>
      <w:bookmarkEnd w:id="20"/>
    </w:p>
    <w:p>
      <w:pPr>
        <w:pStyle w:val="FirstParagraph"/>
      </w:pPr>
      <w:r>
        <w:rPr>
          <w:b/>
        </w:rPr>
        <w:t xml:space="preserve">Effective date:</w:t>
      </w:r>
      <w:r>
        <w:t xml:space="preserve"> </w:t>
      </w:r>
      <w:r>
        <w:t xml:space="preserve">2 June 2026</w:t>
      </w:r>
      <w:r>
        <w:t xml:space="preserve"> </w:t>
      </w:r>
      <w:r>
        <w:rPr>
          <w:b/>
        </w:rPr>
        <w:t xml:space="preserve">Last updated:</w:t>
      </w:r>
      <w:r>
        <w:t xml:space="preserve"> </w:t>
      </w:r>
      <w:r>
        <w:t xml:space="preserve">2026-06-02</w:t>
      </w:r>
      <w:r>
        <w:t xml:space="preserve"> </w:t>
      </w:r>
      <w:r>
        <w:rPr>
          <w:b/>
        </w:rPr>
        <w:t xml:space="preserve">Controller:</w:t>
      </w:r>
      <w:r>
        <w:t xml:space="preserve"> </w:t>
      </w:r>
      <w:r>
        <w:t xml:space="preserve">écentic shpk, registered in the Republic of Albania (NIPT: [TO CONFIRM])</w:t>
      </w:r>
      <w:r>
        <w:t xml:space="preserve"> </w:t>
      </w:r>
      <w:r>
        <w:rPr>
          <w:b/>
        </w:rPr>
        <w:t xml:space="preserve">Registered office:</w:t>
      </w:r>
      <w:r>
        <w:t xml:space="preserve"> </w:t>
      </w:r>
      <w:r>
        <w:t xml:space="preserve">[TO CONFIRM upon QKB registration]</w:t>
      </w:r>
      <w:r>
        <w:t xml:space="preserve"> </w:t>
      </w:r>
      <w:r>
        <w:rPr>
          <w:b/>
        </w:rPr>
        <w:t xml:space="preserve">Contact:</w:t>
      </w:r>
      <w:r>
        <w:t xml:space="preserve"> </w:t>
      </w:r>
      <w:r>
        <w:t xml:space="preserve">privacy@ecentic.ai</w:t>
      </w:r>
    </w:p>
    <w:p>
      <w:pPr>
        <w:pStyle w:val="BodyText"/>
      </w:pPr>
      <w:r>
        <w:t xml:space="preserve">This Privacy Policy explains what personal data écentic shpk (</w:t>
      </w:r>
      <w:r>
        <w:t xml:space="preserve">“</w:t>
      </w:r>
      <w:r>
        <w:t xml:space="preserve">écentic</w:t>
      </w:r>
      <w:r>
        <w:t xml:space="preserve">”</w:t>
      </w:r>
      <w:r>
        <w:t xml:space="preserve">,</w:t>
      </w:r>
      <w:r>
        <w:t xml:space="preserve"> </w:t>
      </w:r>
      <w:r>
        <w:t xml:space="preserve">“</w:t>
      </w:r>
      <w:r>
        <w:t xml:space="preserve">we</w:t>
      </w:r>
      <w:r>
        <w:t xml:space="preserve">”</w:t>
      </w:r>
      <w:r>
        <w:t xml:space="preserve">,</w:t>
      </w:r>
      <w:r>
        <w:t xml:space="preserve"> </w:t>
      </w:r>
      <w:r>
        <w:t xml:space="preserve">“</w:t>
      </w:r>
      <w:r>
        <w:t xml:space="preserve">us</w:t>
      </w:r>
      <w:r>
        <w:t xml:space="preserve">”</w:t>
      </w:r>
      <w:r>
        <w:t xml:space="preserve">) collects, how we use it, who we share it with, and the rights you have over it. It applies to:</w:t>
      </w:r>
    </w:p>
    <w:p>
      <w:pPr>
        <w:numPr>
          <w:ilvl w:val="0"/>
          <w:numId w:val="1001"/>
        </w:numPr>
        <w:pStyle w:val="Compact"/>
      </w:pPr>
      <w:r>
        <w:t xml:space="preserve">Visitors to ecentic.ai and any subdomain</w:t>
      </w:r>
    </w:p>
    <w:p>
      <w:pPr>
        <w:numPr>
          <w:ilvl w:val="0"/>
          <w:numId w:val="1001"/>
        </w:numPr>
        <w:pStyle w:val="Compact"/>
      </w:pPr>
      <w:r>
        <w:t xml:space="preserve">Users of the écentic Shopify and WooCommerce apps</w:t>
      </w:r>
    </w:p>
    <w:p>
      <w:pPr>
        <w:numPr>
          <w:ilvl w:val="0"/>
          <w:numId w:val="1001"/>
        </w:numPr>
        <w:pStyle w:val="Compact"/>
      </w:pPr>
      <w:r>
        <w:t xml:space="preserve">Merchants who connect their store to écentic</w:t>
      </w:r>
    </w:p>
    <w:p>
      <w:pPr>
        <w:numPr>
          <w:ilvl w:val="0"/>
          <w:numId w:val="1001"/>
        </w:numPr>
        <w:pStyle w:val="Compact"/>
      </w:pPr>
      <w:r>
        <w:t xml:space="preserve">Customers and prospects who contact us</w:t>
      </w:r>
    </w:p>
    <w:p>
      <w:pPr>
        <w:pStyle w:val="FirstParagraph"/>
      </w:pPr>
      <w:r>
        <w:t xml:space="preserve">We comply with the EU General Data Protection Regulation (Regulation (EU) 2016/679,</w:t>
      </w:r>
      <w:r>
        <w:t xml:space="preserve"> </w:t>
      </w:r>
      <w:r>
        <w:t xml:space="preserve">“</w:t>
      </w:r>
      <w:r>
        <w:t xml:space="preserve">GDPR</w:t>
      </w:r>
      <w:r>
        <w:t xml:space="preserve">”</w:t>
      </w:r>
      <w:r>
        <w:t xml:space="preserve">), Albanian Law No. 9887 dated 10 March 2008</w:t>
      </w:r>
      <w:r>
        <w:t xml:space="preserve"> </w:t>
      </w:r>
      <w:r>
        <w:t xml:space="preserve">“</w:t>
      </w:r>
      <w:r>
        <w:t xml:space="preserve">On the Protection of Personal Data</w:t>
      </w:r>
      <w:r>
        <w:t xml:space="preserve">”</w:t>
      </w:r>
      <w:r>
        <w:t xml:space="preserve"> </w:t>
      </w:r>
      <w:r>
        <w:t xml:space="preserve">(as amended), and the UK GDPR for UK-based users.</w:t>
      </w:r>
    </w:p>
    <w:p>
      <w:r>
        <w:pict>
          <v:rect style="width:0;height:1.5pt" o:hralign="center" o:hrstd="t" o:hr="t"/>
        </w:pict>
      </w:r>
    </w:p>
    <w:p>
      <w:pPr>
        <w:pStyle w:val="Heading2"/>
      </w:pPr>
      <w:bookmarkStart w:id="21" w:name="what-we-collect"/>
      <w:r>
        <w:t xml:space="preserve">1. What we collect</w:t>
      </w:r>
      <w:bookmarkEnd w:id="21"/>
    </w:p>
    <w:p>
      <w:pPr>
        <w:pStyle w:val="Heading3"/>
      </w:pPr>
      <w:bookmarkStart w:id="22" w:name="information-you-provide-to-us-directly"/>
      <w:r>
        <w:t xml:space="preserve">1.1 Information you provide to us directly</w:t>
      </w:r>
      <w:bookmarkEnd w:id="22"/>
    </w:p>
    <w:p>
      <w:pPr>
        <w:numPr>
          <w:ilvl w:val="0"/>
          <w:numId w:val="1002"/>
        </w:numPr>
        <w:pStyle w:val="Compact"/>
      </w:pPr>
      <w:r>
        <w:t xml:space="preserve">Name, email address, role, company name (when you sign up or contact us)</w:t>
      </w:r>
    </w:p>
    <w:p>
      <w:pPr>
        <w:numPr>
          <w:ilvl w:val="0"/>
          <w:numId w:val="1002"/>
        </w:numPr>
        <w:pStyle w:val="Compact"/>
      </w:pPr>
      <w:r>
        <w:t xml:space="preserve">Billing information (processed by Shopify Billing for App Store customers; processed by Stripe for direct customers)</w:t>
      </w:r>
    </w:p>
    <w:p>
      <w:pPr>
        <w:numPr>
          <w:ilvl w:val="0"/>
          <w:numId w:val="1002"/>
        </w:numPr>
        <w:pStyle w:val="Compact"/>
      </w:pPr>
      <w:r>
        <w:t xml:space="preserve">Information you share in support conversations</w:t>
      </w:r>
    </w:p>
    <w:p>
      <w:pPr>
        <w:pStyle w:val="Heading3"/>
      </w:pPr>
      <w:bookmarkStart w:id="23" w:name="Xdcffc037bf93e8213e162e67f030b4cf732969d"/>
      <w:r>
        <w:t xml:space="preserve">1.2 Information we collect from your connected store</w:t>
      </w:r>
      <w:bookmarkEnd w:id="23"/>
    </w:p>
    <w:p>
      <w:pPr>
        <w:pStyle w:val="FirstParagraph"/>
      </w:pPr>
      <w:r>
        <w:t xml:space="preserve">When you connect a merchant store (Shopify, WooCommerce, or via feed):</w:t>
      </w:r>
      <w:r>
        <w:t xml:space="preserve"> </w:t>
      </w:r>
      <w:r>
        <w:t xml:space="preserve">- Product catalog data (titles, descriptions, prices, images, structured data)</w:t>
      </w:r>
      <w:r>
        <w:t xml:space="preserve"> </w:t>
      </w:r>
      <w:r>
        <w:t xml:space="preserve">- Store metadata (name, currency, shipping policies, return policies, business description)</w:t>
      </w:r>
      <w:r>
        <w:t xml:space="preserve"> </w:t>
      </w:r>
      <w:r>
        <w:t xml:space="preserve">- Performance metrics (sales, traffic, agent visits) for the purpose of computing your win rates</w:t>
      </w:r>
    </w:p>
    <w:p>
      <w:pPr>
        <w:pStyle w:val="Heading3"/>
      </w:pPr>
      <w:bookmarkStart w:id="24" w:name="information-we-collect-automatically"/>
      <w:r>
        <w:t xml:space="preserve">1.3 Information we collect automatically</w:t>
      </w:r>
      <w:bookmarkEnd w:id="24"/>
    </w:p>
    <w:p>
      <w:pPr>
        <w:numPr>
          <w:ilvl w:val="0"/>
          <w:numId w:val="1003"/>
        </w:numPr>
        <w:pStyle w:val="Compact"/>
      </w:pPr>
      <w:r>
        <w:t xml:space="preserve">Standard log data: IP address, browser type, pages viewed, timestamps</w:t>
      </w:r>
    </w:p>
    <w:p>
      <w:pPr>
        <w:numPr>
          <w:ilvl w:val="0"/>
          <w:numId w:val="1003"/>
        </w:numPr>
        <w:pStyle w:val="Compact"/>
      </w:pPr>
      <w:r>
        <w:t xml:space="preserve">Cookie identifiers (essential cookies only by default; analytics cookies require consent)</w:t>
      </w:r>
    </w:p>
    <w:p>
      <w:pPr>
        <w:numPr>
          <w:ilvl w:val="0"/>
          <w:numId w:val="1003"/>
        </w:numPr>
        <w:pStyle w:val="Compact"/>
      </w:pPr>
      <w:r>
        <w:t xml:space="preserve">For the agent traffic beacon: anonymized visit data tagged by user-agent / referrer to identify AI agent visits to your store</w:t>
      </w:r>
    </w:p>
    <w:p>
      <w:pPr>
        <w:pStyle w:val="Heading3"/>
      </w:pPr>
      <w:bookmarkStart w:id="25" w:name="X12a1f6b7c3006e9d986a59a2e4d3b2355d78d0f"/>
      <w:r>
        <w:t xml:space="preserve">1.4 Information about AI agent visits to your store</w:t>
      </w:r>
      <w:bookmarkEnd w:id="25"/>
    </w:p>
    <w:p>
      <w:pPr>
        <w:numPr>
          <w:ilvl w:val="0"/>
          <w:numId w:val="1004"/>
        </w:numPr>
        <w:pStyle w:val="Compact"/>
      </w:pPr>
      <w:r>
        <w:t xml:space="preserve">User-agent strings, referrer data, request fingerprints used to classify a visit as agent-driven (this is not personal data of any individual — it is the digital signature of a software agent)</w:t>
      </w:r>
    </w:p>
    <w:p>
      <w:r>
        <w:pict>
          <v:rect style="width:0;height:1.5pt" o:hralign="center" o:hrstd="t" o:hr="t"/>
        </w:pict>
      </w:r>
    </w:p>
    <w:p>
      <w:pPr>
        <w:pStyle w:val="Heading2"/>
      </w:pPr>
      <w:bookmarkStart w:id="26" w:name="Xe7e3fbdad354c189f51322e429b7bbd36f059a5"/>
      <w:r>
        <w:t xml:space="preserve">2. Why we use it (lawful basis under GDPR Art. 6)</w:t>
      </w:r>
      <w:bookmarkEnd w:id="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Lawful basis</w:t>
            </w:r>
          </w:p>
        </w:tc>
      </w:tr>
      <w:tr>
        <w:tc>
          <w:p>
            <w:pPr>
              <w:pStyle w:val="Compact"/>
              <w:jc w:val="left"/>
            </w:pPr>
            <w:r>
              <w:t xml:space="preserve">Provide the écentic service to your store</w:t>
            </w:r>
          </w:p>
        </w:tc>
        <w:tc>
          <w:p>
            <w:pPr>
              <w:pStyle w:val="Compact"/>
              <w:jc w:val="left"/>
            </w:pPr>
            <w:r>
              <w:t xml:space="preserve">Contract (Art. 6(1)(b))</w:t>
            </w:r>
          </w:p>
        </w:tc>
      </w:tr>
      <w:tr>
        <w:tc>
          <w:p>
            <w:pPr>
              <w:pStyle w:val="Compact"/>
              <w:jc w:val="left"/>
            </w:pPr>
            <w:r>
              <w:t xml:space="preserve">Bill you for the service</w:t>
            </w:r>
          </w:p>
        </w:tc>
        <w:tc>
          <w:p>
            <w:pPr>
              <w:pStyle w:val="Compact"/>
              <w:jc w:val="left"/>
            </w:pPr>
            <w:r>
              <w:t xml:space="preserve">Contract (Art. 6(1)(b)) and Legal obligation (Art. 6(1)(c))</w:t>
            </w:r>
          </w:p>
        </w:tc>
      </w:tr>
      <w:tr>
        <w:tc>
          <w:p>
            <w:pPr>
              <w:pStyle w:val="Compact"/>
              <w:jc w:val="left"/>
            </w:pPr>
            <w:r>
              <w:t xml:space="preserve">Send service-related notifications (model drift alerts, scan reports, system messages)</w:t>
            </w:r>
          </w:p>
        </w:tc>
        <w:tc>
          <w:p>
            <w:pPr>
              <w:pStyle w:val="Compact"/>
              <w:jc w:val="left"/>
            </w:pPr>
            <w:r>
              <w:t xml:space="preserve">Contract (Art. 6(1)(b))</w:t>
            </w:r>
          </w:p>
        </w:tc>
      </w:tr>
      <w:tr>
        <w:tc>
          <w:p>
            <w:pPr>
              <w:pStyle w:val="Compact"/>
              <w:jc w:val="left"/>
            </w:pPr>
            <w:r>
              <w:t xml:space="preserve">Send marketing emails (newsletter, product updates)</w:t>
            </w:r>
          </w:p>
        </w:tc>
        <w:tc>
          <w:p>
            <w:pPr>
              <w:pStyle w:val="Compact"/>
              <w:jc w:val="left"/>
            </w:pPr>
            <w:r>
              <w:t xml:space="preserve">Consent (Art. 6(1)(a)) — opt-in required</w:t>
            </w:r>
          </w:p>
        </w:tc>
      </w:tr>
      <w:tr>
        <w:tc>
          <w:p>
            <w:pPr>
              <w:pStyle w:val="Compact"/>
              <w:jc w:val="left"/>
            </w:pPr>
            <w:r>
              <w:t xml:space="preserve">Detect and prevent fraud, abuse, security incidents</w:t>
            </w:r>
          </w:p>
        </w:tc>
        <w:tc>
          <w:p>
            <w:pPr>
              <w:pStyle w:val="Compact"/>
              <w:jc w:val="left"/>
            </w:pPr>
            <w:r>
              <w:t xml:space="preserve">Legitimate interest (Art. 6(1)(f))</w:t>
            </w:r>
          </w:p>
        </w:tc>
      </w:tr>
      <w:tr>
        <w:tc>
          <w:p>
            <w:pPr>
              <w:pStyle w:val="Compact"/>
              <w:jc w:val="left"/>
            </w:pPr>
            <w:r>
              <w:t xml:space="preserve">Compute aggregate anonymized industry benchmarks (</w:t>
            </w:r>
            <w:r>
              <w:t xml:space="preserve">“</w:t>
            </w:r>
            <w:r>
              <w:t xml:space="preserve">State of Agent Commerce</w:t>
            </w:r>
            <w:r>
              <w:t xml:space="preserve">”</w:t>
            </w:r>
            <w:r>
              <w:t xml:space="preserve">)</w:t>
            </w:r>
          </w:p>
        </w:tc>
        <w:tc>
          <w:p>
            <w:pPr>
              <w:pStyle w:val="Compact"/>
              <w:jc w:val="left"/>
            </w:pPr>
            <w:r>
              <w:t xml:space="preserve">Legitimate interest (Art. 6(1)(f)) — your store’s data is anonymized and aggregated before use</w:t>
            </w:r>
          </w:p>
        </w:tc>
      </w:tr>
      <w:tr>
        <w:tc>
          <w:p>
            <w:pPr>
              <w:pStyle w:val="Compact"/>
              <w:jc w:val="left"/>
            </w:pPr>
            <w:r>
              <w:t xml:space="preserve">Comply with legal obligations (tax records, dispute resolution)</w:t>
            </w:r>
          </w:p>
        </w:tc>
        <w:tc>
          <w:p>
            <w:pPr>
              <w:pStyle w:val="Compact"/>
              <w:jc w:val="left"/>
            </w:pPr>
            <w:r>
              <w:t xml:space="preserve">Legal obligation (Art. 6(1)(c))</w:t>
            </w:r>
          </w:p>
        </w:tc>
      </w:tr>
    </w:tbl>
    <w:p>
      <w:r>
        <w:pict>
          <v:rect style="width:0;height:1.5pt" o:hralign="center" o:hrstd="t" o:hr="t"/>
        </w:pict>
      </w:r>
    </w:p>
    <w:p>
      <w:pPr>
        <w:pStyle w:val="Heading2"/>
      </w:pPr>
      <w:bookmarkStart w:id="27" w:name="who-we-share-it-with"/>
      <w:r>
        <w:t xml:space="preserve">3. Who we share it with</w:t>
      </w:r>
      <w:bookmarkEnd w:id="27"/>
    </w:p>
    <w:p>
      <w:pPr>
        <w:pStyle w:val="FirstParagraph"/>
      </w:pPr>
      <w:r>
        <w:t xml:space="preserve">We share personal data only with the following categories of recipients, each bound by data-processing agreements where applicable:</w:t>
      </w:r>
    </w:p>
    <w:p>
      <w:pPr>
        <w:numPr>
          <w:ilvl w:val="0"/>
          <w:numId w:val="1005"/>
        </w:numPr>
        <w:pStyle w:val="Compact"/>
      </w:pPr>
      <w:r>
        <w:rPr>
          <w:b/>
        </w:rPr>
        <w:t xml:space="preserve">Hosting &amp; infrastructure:</w:t>
      </w:r>
      <w:r>
        <w:t xml:space="preserve"> </w:t>
      </w:r>
      <w:r>
        <w:t xml:space="preserve">Vercel (US, EU regions enabled), our managed PostgreSQL provider (EU region)</w:t>
      </w:r>
    </w:p>
    <w:p>
      <w:pPr>
        <w:numPr>
          <w:ilvl w:val="0"/>
          <w:numId w:val="1005"/>
        </w:numPr>
        <w:pStyle w:val="Compact"/>
      </w:pPr>
      <w:r>
        <w:rPr>
          <w:b/>
        </w:rPr>
        <w:t xml:space="preserve">AI / model providers:</w:t>
      </w:r>
      <w:r>
        <w:t xml:space="preserve"> </w:t>
      </w:r>
      <w:r>
        <w:t xml:space="preserve">Azure AI Studio (Microsoft), OpenAI, Anthropic, Google AI, Perplexity — used only to compute simulations. None of these providers train their models on your data per our contractual agreements with them.</w:t>
      </w:r>
    </w:p>
    <w:p>
      <w:pPr>
        <w:numPr>
          <w:ilvl w:val="0"/>
          <w:numId w:val="1005"/>
        </w:numPr>
        <w:pStyle w:val="Compact"/>
      </w:pPr>
      <w:r>
        <w:rPr>
          <w:b/>
        </w:rPr>
        <w:t xml:space="preserve">Email delivery:</w:t>
      </w:r>
      <w:r>
        <w:t xml:space="preserve"> </w:t>
      </w:r>
      <w:r>
        <w:t xml:space="preserve">Resend (US)</w:t>
      </w:r>
    </w:p>
    <w:p>
      <w:pPr>
        <w:numPr>
          <w:ilvl w:val="0"/>
          <w:numId w:val="1005"/>
        </w:numPr>
        <w:pStyle w:val="Compact"/>
      </w:pPr>
      <w:r>
        <w:rPr>
          <w:b/>
        </w:rPr>
        <w:t xml:space="preserve">Storage:</w:t>
      </w:r>
      <w:r>
        <w:t xml:space="preserve"> </w:t>
      </w:r>
      <w:r>
        <w:t xml:space="preserve">UploadThing (US, EU regions)</w:t>
      </w:r>
    </w:p>
    <w:p>
      <w:pPr>
        <w:numPr>
          <w:ilvl w:val="0"/>
          <w:numId w:val="1005"/>
        </w:numPr>
        <w:pStyle w:val="Compact"/>
      </w:pPr>
      <w:r>
        <w:rPr>
          <w:b/>
        </w:rPr>
        <w:t xml:space="preserve">Analytics &amp; monitoring:</w:t>
      </w:r>
      <w:r>
        <w:t xml:space="preserve"> </w:t>
      </w:r>
      <w:r>
        <w:t xml:space="preserve">Sentry (US, EU), PostHog (EU region)</w:t>
      </w:r>
    </w:p>
    <w:p>
      <w:pPr>
        <w:numPr>
          <w:ilvl w:val="0"/>
          <w:numId w:val="1005"/>
        </w:numPr>
        <w:pStyle w:val="Compact"/>
      </w:pPr>
      <w:r>
        <w:rPr>
          <w:b/>
        </w:rPr>
        <w:t xml:space="preserve">Billing:</w:t>
      </w:r>
      <w:r>
        <w:t xml:space="preserve"> </w:t>
      </w:r>
      <w:r>
        <w:t xml:space="preserve">Shopify (for Shopify App Store customers), Stripe (for direct billing)</w:t>
      </w:r>
    </w:p>
    <w:p>
      <w:pPr>
        <w:numPr>
          <w:ilvl w:val="0"/>
          <w:numId w:val="1005"/>
        </w:numPr>
        <w:pStyle w:val="Compact"/>
      </w:pPr>
      <w:r>
        <w:rPr>
          <w:b/>
        </w:rPr>
        <w:t xml:space="preserve">Legal authorities:</w:t>
      </w:r>
      <w:r>
        <w:t xml:space="preserve"> </w:t>
      </w:r>
      <w:r>
        <w:t xml:space="preserve">Only when required by law (e.g., court order, regulatory request), and we will notify you of any such request unless prohibited.</w:t>
      </w:r>
    </w:p>
    <w:p>
      <w:pPr>
        <w:pStyle w:val="FirstParagraph"/>
      </w:pPr>
      <w:r>
        <w:t xml:space="preserve">We do</w:t>
      </w:r>
      <w:r>
        <w:t xml:space="preserve"> </w:t>
      </w:r>
      <w:r>
        <w:rPr>
          <w:b/>
        </w:rPr>
        <w:t xml:space="preserve">not</w:t>
      </w:r>
      <w:r>
        <w:t xml:space="preserve"> </w:t>
      </w:r>
      <w:r>
        <w:t xml:space="preserve">sell personal data. We do</w:t>
      </w:r>
      <w:r>
        <w:t xml:space="preserve"> </w:t>
      </w:r>
      <w:r>
        <w:rPr>
          <w:b/>
        </w:rPr>
        <w:t xml:space="preserve">not</w:t>
      </w:r>
      <w:r>
        <w:t xml:space="preserve"> </w:t>
      </w:r>
      <w:r>
        <w:t xml:space="preserve">share personal data with advertisers. We do</w:t>
      </w:r>
      <w:r>
        <w:t xml:space="preserve"> </w:t>
      </w:r>
      <w:r>
        <w:rPr>
          <w:b/>
        </w:rPr>
        <w:t xml:space="preserve">not</w:t>
      </w:r>
      <w:r>
        <w:t xml:space="preserve"> </w:t>
      </w:r>
      <w:r>
        <w:t xml:space="preserve">allow third parties to use our service to retarget you.</w:t>
      </w:r>
    </w:p>
    <w:p>
      <w:r>
        <w:pict>
          <v:rect style="width:0;height:1.5pt" o:hralign="center" o:hrstd="t" o:hr="t"/>
        </w:pict>
      </w:r>
    </w:p>
    <w:p>
      <w:pPr>
        <w:pStyle w:val="Heading2"/>
      </w:pPr>
      <w:bookmarkStart w:id="28" w:name="international-transfers"/>
      <w:r>
        <w:t xml:space="preserve">4. International transfers</w:t>
      </w:r>
      <w:bookmarkEnd w:id="28"/>
    </w:p>
    <w:p>
      <w:pPr>
        <w:pStyle w:val="FirstParagraph"/>
      </w:pPr>
      <w:r>
        <w:t xml:space="preserve">Where personal data is transferred outside the European Economic Area (EEA) or the United Kingdom — for example, to a service provider hosted in the United States — we use the European Commission’s Standard Contractual Clauses (SCCs) and, where applicable, supplementary measures, to ensure equivalent protection.</w:t>
      </w:r>
    </w:p>
    <w:p>
      <w:pPr>
        <w:pStyle w:val="BodyText"/>
      </w:pPr>
      <w:r>
        <w:t xml:space="preserve">A list of our sub-processors and their data residency is available in our Data Processing Addendum, available on request from privacy@ecentic.ai.</w:t>
      </w:r>
    </w:p>
    <w:p>
      <w:r>
        <w:pict>
          <v:rect style="width:0;height:1.5pt" o:hralign="center" o:hrstd="t" o:hr="t"/>
        </w:pict>
      </w:r>
    </w:p>
    <w:p>
      <w:pPr>
        <w:pStyle w:val="Heading2"/>
      </w:pPr>
      <w:bookmarkStart w:id="29" w:name="retention"/>
      <w:r>
        <w:t xml:space="preserve">5. Retention</w:t>
      </w:r>
      <w:bookmarkEnd w:id="29"/>
    </w:p>
    <w:p>
      <w:pPr>
        <w:numPr>
          <w:ilvl w:val="0"/>
          <w:numId w:val="1006"/>
        </w:numPr>
        <w:pStyle w:val="Compact"/>
      </w:pPr>
      <w:r>
        <w:rPr>
          <w:b/>
        </w:rPr>
        <w:t xml:space="preserve">Account data:</w:t>
      </w:r>
      <w:r>
        <w:t xml:space="preserve"> </w:t>
      </w:r>
      <w:r>
        <w:t xml:space="preserve">retained for the duration of your account, plus 12 months after termination (to handle disputes and outstanding billing matters).</w:t>
      </w:r>
    </w:p>
    <w:p>
      <w:pPr>
        <w:numPr>
          <w:ilvl w:val="0"/>
          <w:numId w:val="1006"/>
        </w:numPr>
        <w:pStyle w:val="Compact"/>
      </w:pPr>
      <w:r>
        <w:rPr>
          <w:b/>
        </w:rPr>
        <w:t xml:space="preserve">Product catalog data:</w:t>
      </w:r>
      <w:r>
        <w:t xml:space="preserve"> </w:t>
      </w:r>
      <w:r>
        <w:t xml:space="preserve">retained for the duration of your store’s connection, plus 90 days after disconnection. You may request earlier deletion at any time.</w:t>
      </w:r>
    </w:p>
    <w:p>
      <w:pPr>
        <w:numPr>
          <w:ilvl w:val="0"/>
          <w:numId w:val="1006"/>
        </w:numPr>
        <w:pStyle w:val="Compact"/>
      </w:pPr>
      <w:r>
        <w:rPr>
          <w:b/>
        </w:rPr>
        <w:t xml:space="preserve">Simulation history and win-rate data:</w:t>
      </w:r>
      <w:r>
        <w:t xml:space="preserve"> </w:t>
      </w:r>
      <w:r>
        <w:t xml:space="preserve">retained for 24 months after the simulation was run (we may keep anonymized aggregates indefinitely for benchmark purposes).</w:t>
      </w:r>
    </w:p>
    <w:p>
      <w:pPr>
        <w:numPr>
          <w:ilvl w:val="0"/>
          <w:numId w:val="1006"/>
        </w:numPr>
        <w:pStyle w:val="Compact"/>
      </w:pPr>
      <w:r>
        <w:rPr>
          <w:b/>
        </w:rPr>
        <w:t xml:space="preserve">Billing and tax records:</w:t>
      </w:r>
      <w:r>
        <w:t xml:space="preserve"> </w:t>
      </w:r>
      <w:r>
        <w:t xml:space="preserve">retained for the period required by Albanian tax law (currently 10 years).</w:t>
      </w:r>
    </w:p>
    <w:p>
      <w:pPr>
        <w:numPr>
          <w:ilvl w:val="0"/>
          <w:numId w:val="1006"/>
        </w:numPr>
        <w:pStyle w:val="Compact"/>
      </w:pPr>
      <w:r>
        <w:rPr>
          <w:b/>
        </w:rPr>
        <w:t xml:space="preserve">Marketing email contact data:</w:t>
      </w:r>
      <w:r>
        <w:t xml:space="preserve"> </w:t>
      </w:r>
      <w:r>
        <w:t xml:space="preserve">retained until you withdraw consent or opt out.</w:t>
      </w:r>
    </w:p>
    <w:p>
      <w:r>
        <w:pict>
          <v:rect style="width:0;height:1.5pt" o:hralign="center" o:hrstd="t" o:hr="t"/>
        </w:pict>
      </w:r>
    </w:p>
    <w:p>
      <w:pPr>
        <w:pStyle w:val="Heading2"/>
      </w:pPr>
      <w:bookmarkStart w:id="30" w:name="your-rights-gdpr"/>
      <w:r>
        <w:t xml:space="preserve">6. Your rights (GDPR)</w:t>
      </w:r>
      <w:bookmarkEnd w:id="30"/>
    </w:p>
    <w:p>
      <w:pPr>
        <w:pStyle w:val="FirstParagraph"/>
      </w:pPr>
      <w:r>
        <w:t xml:space="preserve">You have the right to:</w:t>
      </w:r>
      <w:r>
        <w:t xml:space="preserve"> </w:t>
      </w:r>
      <w:r>
        <w:t xml:space="preserve">-</w:t>
      </w:r>
      <w:r>
        <w:t xml:space="preserve"> </w:t>
      </w:r>
      <w:r>
        <w:rPr>
          <w:b/>
        </w:rPr>
        <w:t xml:space="preserve">Access</w:t>
      </w:r>
      <w:r>
        <w:t xml:space="preserve"> </w:t>
      </w:r>
      <w:r>
        <w:t xml:space="preserve">the personal data we hold about you (Art. 15)</w:t>
      </w:r>
      <w:r>
        <w:t xml:space="preserve"> </w:t>
      </w:r>
      <w:r>
        <w:t xml:space="preserve">-</w:t>
      </w:r>
      <w:r>
        <w:t xml:space="preserve"> </w:t>
      </w:r>
      <w:r>
        <w:rPr>
          <w:b/>
        </w:rPr>
        <w:t xml:space="preserve">Rectify</w:t>
      </w:r>
      <w:r>
        <w:t xml:space="preserve"> </w:t>
      </w:r>
      <w:r>
        <w:t xml:space="preserve">inaccurate or incomplete data (Art. 16)</w:t>
      </w:r>
      <w:r>
        <w:t xml:space="preserve"> </w:t>
      </w:r>
      <w:r>
        <w:t xml:space="preserve">-</w:t>
      </w:r>
      <w:r>
        <w:t xml:space="preserve"> </w:t>
      </w:r>
      <w:r>
        <w:rPr>
          <w:b/>
        </w:rPr>
        <w:t xml:space="preserve">Erase</w:t>
      </w:r>
      <w:r>
        <w:t xml:space="preserve"> </w:t>
      </w:r>
      <w:r>
        <w:t xml:space="preserve">(</w:t>
      </w:r>
      <w:r>
        <w:t xml:space="preserve">“</w:t>
      </w:r>
      <w:r>
        <w:t xml:space="preserve">right to be forgotten</w:t>
      </w:r>
      <w:r>
        <w:t xml:space="preserve">”</w:t>
      </w:r>
      <w:r>
        <w:t xml:space="preserve">) (Art. 17)</w:t>
      </w:r>
      <w:r>
        <w:t xml:space="preserve"> </w:t>
      </w:r>
      <w:r>
        <w:t xml:space="preserve">-</w:t>
      </w:r>
      <w:r>
        <w:t xml:space="preserve"> </w:t>
      </w:r>
      <w:r>
        <w:rPr>
          <w:b/>
        </w:rPr>
        <w:t xml:space="preserve">Restrict</w:t>
      </w:r>
      <w:r>
        <w:t xml:space="preserve"> </w:t>
      </w:r>
      <w:r>
        <w:t xml:space="preserve">processing in certain circumstances (Art. 18)</w:t>
      </w:r>
      <w:r>
        <w:t xml:space="preserve"> </w:t>
      </w:r>
      <w:r>
        <w:t xml:space="preserve">-</w:t>
      </w:r>
      <w:r>
        <w:t xml:space="preserve"> </w:t>
      </w:r>
      <w:r>
        <w:rPr>
          <w:b/>
        </w:rPr>
        <w:t xml:space="preserve">Portability</w:t>
      </w:r>
      <w:r>
        <w:t xml:space="preserve"> </w:t>
      </w:r>
      <w:r>
        <w:t xml:space="preserve">— receive your data in a structured, machine-readable format (Art. 20)</w:t>
      </w:r>
      <w:r>
        <w:t xml:space="preserve"> </w:t>
      </w:r>
      <w:r>
        <w:t xml:space="preserve">-</w:t>
      </w:r>
      <w:r>
        <w:t xml:space="preserve"> </w:t>
      </w:r>
      <w:r>
        <w:rPr>
          <w:b/>
        </w:rPr>
        <w:t xml:space="preserve">Object</w:t>
      </w:r>
      <w:r>
        <w:t xml:space="preserve"> </w:t>
      </w:r>
      <w:r>
        <w:t xml:space="preserve">to processing based on legitimate interest, including profiling (Art. 21)</w:t>
      </w:r>
      <w:r>
        <w:t xml:space="preserve"> </w:t>
      </w:r>
      <w:r>
        <w:t xml:space="preserve">-</w:t>
      </w:r>
      <w:r>
        <w:t xml:space="preserve"> </w:t>
      </w:r>
      <w:r>
        <w:rPr>
          <w:b/>
        </w:rPr>
        <w:t xml:space="preserve">Withdraw consent</w:t>
      </w:r>
      <w:r>
        <w:t xml:space="preserve"> </w:t>
      </w:r>
      <w:r>
        <w:t xml:space="preserve">at any time where processing is based on consent (Art. 7(3))</w:t>
      </w:r>
      <w:r>
        <w:t xml:space="preserve"> </w:t>
      </w:r>
      <w:r>
        <w:t xml:space="preserve">-</w:t>
      </w:r>
      <w:r>
        <w:t xml:space="preserve"> </w:t>
      </w:r>
      <w:r>
        <w:rPr>
          <w:b/>
        </w:rPr>
        <w:t xml:space="preserve">Lodge a complaint</w:t>
      </w:r>
      <w:r>
        <w:t xml:space="preserve"> </w:t>
      </w:r>
      <w:r>
        <w:t xml:space="preserve">with the Albanian Information and Data Protection Commissioner (Komisioneri për të Drejtën e Informimit dhe Mbrojtjen e të Dhënave Personale) or your local EU/UK supervisory authority</w:t>
      </w:r>
    </w:p>
    <w:p>
      <w:pPr>
        <w:pStyle w:val="BodyText"/>
      </w:pPr>
      <w:r>
        <w:t xml:space="preserve">To exercise any of these rights, email privacy@ecentic.ai. We respond within 30 days.</w:t>
      </w:r>
    </w:p>
    <w:p>
      <w:r>
        <w:pict>
          <v:rect style="width:0;height:1.5pt" o:hralign="center" o:hrstd="t" o:hr="t"/>
        </w:pict>
      </w:r>
    </w:p>
    <w:p>
      <w:pPr>
        <w:pStyle w:val="Heading2"/>
      </w:pPr>
      <w:bookmarkStart w:id="31" w:name="security"/>
      <w:r>
        <w:t xml:space="preserve">7. Security</w:t>
      </w:r>
      <w:bookmarkEnd w:id="31"/>
    </w:p>
    <w:p>
      <w:pPr>
        <w:numPr>
          <w:ilvl w:val="0"/>
          <w:numId w:val="1007"/>
        </w:numPr>
        <w:pStyle w:val="Compact"/>
      </w:pPr>
      <w:r>
        <w:t xml:space="preserve">All data in transit is encrypted using TLS 1.2 or higher</w:t>
      </w:r>
    </w:p>
    <w:p>
      <w:pPr>
        <w:numPr>
          <w:ilvl w:val="0"/>
          <w:numId w:val="1007"/>
        </w:numPr>
        <w:pStyle w:val="Compact"/>
      </w:pPr>
      <w:r>
        <w:t xml:space="preserve">All data at rest in our PostgreSQL database is encrypted (AES-256)</w:t>
      </w:r>
    </w:p>
    <w:p>
      <w:pPr>
        <w:numPr>
          <w:ilvl w:val="0"/>
          <w:numId w:val="1007"/>
        </w:numPr>
        <w:pStyle w:val="Compact"/>
      </w:pPr>
      <w:r>
        <w:t xml:space="preserve">Access to production systems is restricted to authorized engineers (currently the three Founders and Engineer #1 once hired)</w:t>
      </w:r>
    </w:p>
    <w:p>
      <w:pPr>
        <w:numPr>
          <w:ilvl w:val="0"/>
          <w:numId w:val="1007"/>
        </w:numPr>
        <w:pStyle w:val="Compact"/>
      </w:pPr>
      <w:r>
        <w:t xml:space="preserve">Multi-factor authentication is mandatory on all production access</w:t>
      </w:r>
    </w:p>
    <w:p>
      <w:pPr>
        <w:numPr>
          <w:ilvl w:val="0"/>
          <w:numId w:val="1007"/>
        </w:numPr>
        <w:pStyle w:val="Compact"/>
      </w:pPr>
      <w:r>
        <w:t xml:space="preserve">We maintain audit logs of access to customer data</w:t>
      </w:r>
    </w:p>
    <w:p>
      <w:pPr>
        <w:numPr>
          <w:ilvl w:val="0"/>
          <w:numId w:val="1007"/>
        </w:numPr>
        <w:pStyle w:val="Compact"/>
      </w:pPr>
      <w:r>
        <w:t xml:space="preserve">We are working towards SOC 2 Type I certification (engagement signed with Vanta; target completion Q3 2026)</w:t>
      </w:r>
    </w:p>
    <w:p>
      <w:pPr>
        <w:pStyle w:val="FirstParagraph"/>
      </w:pPr>
      <w:r>
        <w:t xml:space="preserve">In the event of a personal data breach that is likely to result in a risk to your rights and freedoms, we will notify you and the relevant supervisory authority within 72 hours.</w:t>
      </w:r>
    </w:p>
    <w:p>
      <w:r>
        <w:pict>
          <v:rect style="width:0;height:1.5pt" o:hralign="center" o:hrstd="t" o:hr="t"/>
        </w:pict>
      </w:r>
    </w:p>
    <w:p>
      <w:pPr>
        <w:pStyle w:val="Heading2"/>
      </w:pPr>
      <w:bookmarkStart w:id="32" w:name="cookies"/>
      <w:r>
        <w:t xml:space="preserve">8. Cookies</w:t>
      </w:r>
      <w:bookmarkEnd w:id="32"/>
    </w:p>
    <w:p>
      <w:pPr>
        <w:pStyle w:val="FirstParagraph"/>
      </w:pPr>
      <w:r>
        <w:t xml:space="preserve">We use the following cookies: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Cookie type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Consent required?</w:t>
            </w:r>
          </w:p>
        </w:tc>
      </w:tr>
      <w:tr>
        <w:tc>
          <w:p>
            <w:pPr>
              <w:pStyle w:val="Compact"/>
              <w:jc w:val="left"/>
            </w:pPr>
            <w:r>
              <w:t xml:space="preserve">Strictly necessary</w:t>
            </w:r>
          </w:p>
        </w:tc>
        <w:tc>
          <w:p>
            <w:pPr>
              <w:pStyle w:val="Compact"/>
              <w:jc w:val="left"/>
            </w:pPr>
            <w:r>
              <w:t xml:space="preserve">Authentication, session management, security</w:t>
            </w:r>
          </w:p>
        </w:tc>
        <w:tc>
          <w:p>
            <w:pPr>
              <w:pStyle w:val="Compact"/>
              <w:jc w:val="left"/>
            </w:pPr>
            <w:r>
              <w:t xml:space="preserve">No</w:t>
            </w:r>
          </w:p>
        </w:tc>
      </w:tr>
      <w:tr>
        <w:tc>
          <w:p>
            <w:pPr>
              <w:pStyle w:val="Compact"/>
              <w:jc w:val="left"/>
            </w:pPr>
            <w:r>
              <w:t xml:space="preserve">Functional</w:t>
            </w:r>
          </w:p>
        </w:tc>
        <w:tc>
          <w:p>
            <w:pPr>
              <w:pStyle w:val="Compact"/>
              <w:jc w:val="left"/>
            </w:pPr>
            <w:r>
              <w:t xml:space="preserve">Remember your preferences (language, dashboard layout)</w:t>
            </w:r>
          </w:p>
        </w:tc>
        <w:tc>
          <w:p>
            <w:pPr>
              <w:pStyle w:val="Compact"/>
              <w:jc w:val="left"/>
            </w:pPr>
            <w:r>
              <w:t xml:space="preserve">No (legitimate interest)</w:t>
            </w:r>
          </w:p>
        </w:tc>
      </w:tr>
      <w:tr>
        <w:tc>
          <w:p>
            <w:pPr>
              <w:pStyle w:val="Compact"/>
              <w:jc w:val="left"/>
            </w:pPr>
            <w:r>
              <w:t xml:space="preserve">Analytics (PostHog)</w:t>
            </w:r>
          </w:p>
        </w:tc>
        <w:tc>
          <w:p>
            <w:pPr>
              <w:pStyle w:val="Compact"/>
              <w:jc w:val="left"/>
            </w:pPr>
            <w:r>
              <w:t xml:space="preserve">Understand how the product is used to improve it</w:t>
            </w:r>
          </w:p>
        </w:tc>
        <w:tc>
          <w:p>
            <w:pPr>
              <w:pStyle w:val="Compact"/>
              <w:jc w:val="left"/>
            </w:pPr>
            <w:r>
              <w:t xml:space="preserve">Yes (opt-in)</w:t>
            </w:r>
          </w:p>
        </w:tc>
      </w:tr>
    </w:tbl>
    <w:p>
      <w:pPr>
        <w:pStyle w:val="BodyText"/>
      </w:pPr>
      <w:r>
        <w:t xml:space="preserve">You can manage your cookie preferences in our cookie banner on first visit, and re-open the preference center at any time via the link in our website footer.</w:t>
      </w:r>
    </w:p>
    <w:p>
      <w:r>
        <w:pict>
          <v:rect style="width:0;height:1.5pt" o:hralign="center" o:hrstd="t" o:hr="t"/>
        </w:pict>
      </w:r>
    </w:p>
    <w:p>
      <w:pPr>
        <w:pStyle w:val="Heading2"/>
      </w:pPr>
      <w:bookmarkStart w:id="33" w:name="children"/>
      <w:r>
        <w:t xml:space="preserve">9. Children</w:t>
      </w:r>
      <w:bookmarkEnd w:id="33"/>
    </w:p>
    <w:p>
      <w:pPr>
        <w:pStyle w:val="FirstParagraph"/>
      </w:pPr>
      <w:r>
        <w:t xml:space="preserve">The écentic service is intended for use by businesses, not by individuals under 16. We do not knowingly collect personal data from children under 16. If you believe we have inadvertently done so, please contact us at privacy@ecentic.ai and we will delete the data promptly.</w:t>
      </w:r>
    </w:p>
    <w:p>
      <w:r>
        <w:pict>
          <v:rect style="width:0;height:1.5pt" o:hralign="center" o:hrstd="t" o:hr="t"/>
        </w:pict>
      </w:r>
    </w:p>
    <w:p>
      <w:pPr>
        <w:pStyle w:val="Heading2"/>
      </w:pPr>
      <w:bookmarkStart w:id="34" w:name="changes-to-this-policy"/>
      <w:r>
        <w:t xml:space="preserve">10. Changes to this policy</w:t>
      </w:r>
      <w:bookmarkEnd w:id="34"/>
    </w:p>
    <w:p>
      <w:pPr>
        <w:pStyle w:val="FirstParagraph"/>
      </w:pPr>
      <w:r>
        <w:t xml:space="preserve">We may update this Privacy Policy from time to time. The</w:t>
      </w:r>
      <w:r>
        <w:t xml:space="preserve"> </w:t>
      </w:r>
      <w:r>
        <w:t xml:space="preserve">“</w:t>
      </w:r>
      <w:r>
        <w:t xml:space="preserve">Last updated</w:t>
      </w:r>
      <w:r>
        <w:t xml:space="preserve">”</w:t>
      </w:r>
      <w:r>
        <w:t xml:space="preserve"> </w:t>
      </w:r>
      <w:r>
        <w:t xml:space="preserve">date at the top of the policy tells you when. If we make material changes, we will notify you by email (where we have your email address) at least 30 days before the changes take effect.</w:t>
      </w:r>
    </w:p>
    <w:p>
      <w:r>
        <w:pict>
          <v:rect style="width:0;height:1.5pt" o:hralign="center" o:hrstd="t" o:hr="t"/>
        </w:pict>
      </w:r>
    </w:p>
    <w:p>
      <w:pPr>
        <w:pStyle w:val="Heading2"/>
      </w:pPr>
      <w:bookmarkStart w:id="35" w:name="contact"/>
      <w:r>
        <w:t xml:space="preserve">11. Contact</w:t>
      </w:r>
      <w:bookmarkEnd w:id="35"/>
    </w:p>
    <w:p>
      <w:pPr>
        <w:numPr>
          <w:ilvl w:val="0"/>
          <w:numId w:val="1008"/>
        </w:numPr>
        <w:pStyle w:val="Compact"/>
      </w:pPr>
      <w:r>
        <w:rPr>
          <w:b/>
        </w:rPr>
        <w:t xml:space="preserve">General privacy questions:</w:t>
      </w:r>
      <w:r>
        <w:t xml:space="preserve"> </w:t>
      </w:r>
      <w:r>
        <w:t xml:space="preserve">privacy@ecentic.ai</w:t>
      </w:r>
    </w:p>
    <w:p>
      <w:pPr>
        <w:numPr>
          <w:ilvl w:val="0"/>
          <w:numId w:val="1008"/>
        </w:numPr>
        <w:pStyle w:val="Compact"/>
      </w:pPr>
      <w:r>
        <w:rPr>
          <w:b/>
        </w:rPr>
        <w:t xml:space="preserve">Data subject requests:</w:t>
      </w:r>
      <w:r>
        <w:t xml:space="preserve"> </w:t>
      </w:r>
      <w:r>
        <w:t xml:space="preserve">privacy@ecentic.ai (response within 30 days)</w:t>
      </w:r>
    </w:p>
    <w:p>
      <w:pPr>
        <w:numPr>
          <w:ilvl w:val="0"/>
          <w:numId w:val="1008"/>
        </w:numPr>
        <w:pStyle w:val="Compact"/>
      </w:pPr>
      <w:r>
        <w:rPr>
          <w:b/>
        </w:rPr>
        <w:t xml:space="preserve">Security issues:</w:t>
      </w:r>
      <w:r>
        <w:t xml:space="preserve"> </w:t>
      </w:r>
      <w:r>
        <w:t xml:space="preserve">security@ecentic.ai</w:t>
      </w:r>
    </w:p>
    <w:p>
      <w:pPr>
        <w:numPr>
          <w:ilvl w:val="0"/>
          <w:numId w:val="1008"/>
        </w:numPr>
        <w:pStyle w:val="Compact"/>
      </w:pPr>
      <w:r>
        <w:rPr>
          <w:b/>
        </w:rPr>
        <w:t xml:space="preserve">Postal:</w:t>
      </w:r>
      <w:r>
        <w:t xml:space="preserve"> </w:t>
      </w:r>
      <w:r>
        <w:t xml:space="preserve">[TO CONFIRM upon QKB registration]</w:t>
      </w:r>
    </w:p>
    <w:p>
      <w:pPr>
        <w:pStyle w:val="FirstParagraph"/>
      </w:pPr>
      <w:r>
        <w:t xml:space="preserve">For independent supervision, you may contact:</w:t>
      </w:r>
      <w:r>
        <w:t xml:space="preserve"> </w:t>
      </w:r>
      <w:r>
        <w:t xml:space="preserve">-</w:t>
      </w:r>
      <w:r>
        <w:t xml:space="preserve"> </w:t>
      </w:r>
      <w:r>
        <w:rPr>
          <w:b/>
        </w:rPr>
        <w:t xml:space="preserve">In Albania:</w:t>
      </w:r>
      <w:r>
        <w:t xml:space="preserve"> </w:t>
      </w:r>
      <w:r>
        <w:t xml:space="preserve">Komisioneri për të Drejtën e Informimit dhe Mbrojtjen e të Dhënave Personale, Rruga</w:t>
      </w:r>
      <w:r>
        <w:t xml:space="preserve"> </w:t>
      </w:r>
      <w:r>
        <w:t xml:space="preserve">“</w:t>
      </w:r>
      <w:r>
        <w:t xml:space="preserve">Abdi Toptani</w:t>
      </w:r>
      <w:r>
        <w:t xml:space="preserve">”</w:t>
      </w:r>
      <w:r>
        <w:t xml:space="preserve">, Nd.5, Tiranë.</w:t>
      </w:r>
      <w:r>
        <w:t xml:space="preserve"> </w:t>
      </w:r>
      <w:r>
        <w:t xml:space="preserve">-</w:t>
      </w:r>
      <w:r>
        <w:t xml:space="preserve"> </w:t>
      </w:r>
      <w:r>
        <w:rPr>
          <w:b/>
        </w:rPr>
        <w:t xml:space="preserve">In the EU/UK:</w:t>
      </w:r>
      <w:r>
        <w:t xml:space="preserve"> </w:t>
      </w:r>
      <w:r>
        <w:t xml:space="preserve">your local data protection authority.</w:t>
      </w:r>
    </w:p>
    <w:sectPr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2026-06-02T13:47:24Z</dcterms:created>
  <dcterms:modified xsi:type="dcterms:W3CDTF">2026-06-02T13:47:24Z</dcterms:modified>
</cp:coreProperties>
</file>

<file path=docProps/custom.xml><?xml version="1.0" encoding="utf-8"?>
<Properties xmlns="http://schemas.openxmlformats.org/officeDocument/2006/custom-properties" xmlns:vt="http://schemas.openxmlformats.org/officeDocument/2006/docPropsVTypes"/>
</file>