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ech-security-agreement-template"/>
      <w:r>
        <w:t xml:space="preserve">Tech &amp; Security Agreement — Template</w:t>
      </w:r>
      <w:bookmarkEnd w:id="20"/>
    </w:p>
    <w:p>
      <w:pPr>
        <w:pStyle w:val="FirstParagraph"/>
      </w:pPr>
      <w:r>
        <w:rPr>
          <w:b/>
        </w:rPr>
        <w:t xml:space="preserve">TEMPLATE — Form fields in [BRACKETS] must be completed before execution. This template is used for enterprise customer engagements that require specific technical and security commitments beyond the standard Customer Agreement and DPA.</w:t>
      </w:r>
    </w:p>
    <w:p>
      <w:pPr>
        <w:pStyle w:val="BodyText"/>
      </w:pPr>
      <w:r>
        <w:t xml:space="preserve">This Tech &amp; Security Agreement (this</w:t>
      </w:r>
      <w:r>
        <w:t xml:space="preserve"> </w:t>
      </w:r>
      <w:r>
        <w:t xml:space="preserve">“</w:t>
      </w:r>
      <w:r>
        <w:t xml:space="preserve">Agreement</w:t>
      </w:r>
      <w:r>
        <w:t xml:space="preserve">”</w:t>
      </w:r>
      <w:r>
        <w:t xml:space="preserve">) is an addendum to the Master Subscription Agreement (the</w:t>
      </w:r>
      <w:r>
        <w:t xml:space="preserve"> </w:t>
      </w:r>
      <w:r>
        <w:t xml:space="preserve">“</w:t>
      </w:r>
      <w:r>
        <w:t xml:space="preserve">MSA</w:t>
      </w:r>
      <w:r>
        <w:t xml:space="preserve">”</w:t>
      </w:r>
      <w:r>
        <w:t xml:space="preserve">) between écentic shpk and [CUSTOMER LEGAL NAME] (the</w:t>
      </w:r>
      <w:r>
        <w:t xml:space="preserve"> </w:t>
      </w:r>
      <w:r>
        <w:t xml:space="preserve">“</w:t>
      </w:r>
      <w:r>
        <w:t xml:space="preserve">Customer</w:t>
      </w:r>
      <w:r>
        <w:t xml:space="preserve">”</w:t>
      </w:r>
      <w:r>
        <w:t xml:space="preserve">) dated [DATE], and is entered into as of [EFFECTIVE DATE].</w:t>
      </w:r>
    </w:p>
    <w:p>
      <w:pPr>
        <w:pStyle w:val="BodyText"/>
      </w:pPr>
      <w:r>
        <w:t xml:space="preserve">In the event of conflict between this Agreement and the MSA, this Agreement governs with respect to the technical and security matters addressed below.</w:t>
      </w:r>
    </w:p>
    <w:p>
      <w:r>
        <w:pict>
          <v:rect style="width:0;height:1.5pt" o:hralign="center" o:hrstd="t" o:hr="t"/>
        </w:pict>
      </w:r>
    </w:p>
    <w:p>
      <w:pPr>
        <w:pStyle w:val="Heading2"/>
      </w:pPr>
      <w:bookmarkStart w:id="21" w:name="scope"/>
      <w:r>
        <w:t xml:space="preserve">1. Scope</w:t>
      </w:r>
      <w:bookmarkEnd w:id="21"/>
    </w:p>
    <w:p>
      <w:pPr>
        <w:pStyle w:val="FirstParagraph"/>
      </w:pPr>
      <w:r>
        <w:t xml:space="preserve">This Agreement applies to:</w:t>
      </w:r>
      <w:r>
        <w:t xml:space="preserve"> </w:t>
      </w:r>
      <w:r>
        <w:t xml:space="preserve">- The hosted Software-as-a-Service environment in which écentic processes Customer Data</w:t>
      </w:r>
      <w:r>
        <w:t xml:space="preserve"> </w:t>
      </w:r>
      <w:r>
        <w:t xml:space="preserve">- All sub-processors used by écentic in providing the Service to Customer</w:t>
      </w:r>
      <w:r>
        <w:t xml:space="preserve"> </w:t>
      </w:r>
      <w:r>
        <w:t xml:space="preserve">- Any custom integration, data export, or technical artefact produced for Customer</w:t>
      </w:r>
    </w:p>
    <w:p>
      <w:r>
        <w:pict>
          <v:rect style="width:0;height:1.5pt" o:hralign="center" o:hrstd="t" o:hr="t"/>
        </w:pict>
      </w:r>
    </w:p>
    <w:p>
      <w:pPr>
        <w:pStyle w:val="Heading2"/>
      </w:pPr>
      <w:bookmarkStart w:id="22" w:name="service-availability-and-performance"/>
      <w:r>
        <w:t xml:space="preserve">2. Service availability and performance</w:t>
      </w:r>
      <w:bookmarkEnd w:id="22"/>
    </w:p>
    <w:p>
      <w:pPr>
        <w:pStyle w:val="Heading3"/>
      </w:pPr>
      <w:bookmarkStart w:id="23" w:name="service-level-agreement-sla"/>
      <w:r>
        <w:t xml:space="preserve">2.1 Service Level Agreement (SLA)</w:t>
      </w:r>
      <w:bookmarkEnd w:id="23"/>
    </w:p>
    <w:p>
      <w:pPr>
        <w:numPr>
          <w:ilvl w:val="0"/>
          <w:numId w:val="1001"/>
        </w:numPr>
        <w:pStyle w:val="Compact"/>
      </w:pPr>
      <w:r>
        <w:rPr>
          <w:b/>
        </w:rPr>
        <w:t xml:space="preserve">Target uptime:</w:t>
      </w:r>
      <w:r>
        <w:t xml:space="preserve"> </w:t>
      </w:r>
      <w:r>
        <w:t xml:space="preserve">99.5% calendar-month uptime for the production écentic platform</w:t>
      </w:r>
    </w:p>
    <w:p>
      <w:pPr>
        <w:numPr>
          <w:ilvl w:val="0"/>
          <w:numId w:val="1001"/>
        </w:numPr>
        <w:pStyle w:val="Compact"/>
      </w:pPr>
      <w:r>
        <w:rPr>
          <w:b/>
        </w:rPr>
        <w:t xml:space="preserve">Definition of downtime:</w:t>
      </w:r>
      <w:r>
        <w:t xml:space="preserve"> </w:t>
      </w:r>
      <w:r>
        <w:t xml:space="preserve">any period during which the merchant-facing dashboard or the integration write-back endpoint is unavailable to Customer for reasons other than (a) scheduled maintenance per Section 2.2, (b) Customer-side issues, or (c) force majeure</w:t>
      </w:r>
    </w:p>
    <w:p>
      <w:pPr>
        <w:numPr>
          <w:ilvl w:val="0"/>
          <w:numId w:val="1001"/>
        </w:numPr>
        <w:pStyle w:val="Compact"/>
      </w:pPr>
      <w:r>
        <w:rPr>
          <w:b/>
        </w:rPr>
        <w:t xml:space="preserve">Service credits:</w:t>
      </w:r>
      <w:r>
        <w:t xml:space="preserve"> </w:t>
      </w:r>
      <w:r>
        <w:t xml:space="preserve">if monthly uptime falls below 99.5%, Customer is entitled to a service credit per the schedule in Schedule A</w:t>
      </w:r>
    </w:p>
    <w:p>
      <w:pPr>
        <w:pStyle w:val="Heading3"/>
      </w:pPr>
      <w:bookmarkStart w:id="24" w:name="scheduled-maintenance"/>
      <w:r>
        <w:t xml:space="preserve">2.2 Scheduled maintenance</w:t>
      </w:r>
      <w:bookmarkEnd w:id="24"/>
    </w:p>
    <w:p>
      <w:pPr>
        <w:numPr>
          <w:ilvl w:val="0"/>
          <w:numId w:val="1002"/>
        </w:numPr>
        <w:pStyle w:val="Compact"/>
      </w:pPr>
      <w:r>
        <w:t xml:space="preserve">écentic provides at least 48 hours’ advance written notice for scheduled maintenance windows</w:t>
      </w:r>
    </w:p>
    <w:p>
      <w:pPr>
        <w:numPr>
          <w:ilvl w:val="0"/>
          <w:numId w:val="1002"/>
        </w:numPr>
        <w:pStyle w:val="Compact"/>
      </w:pPr>
      <w:r>
        <w:t xml:space="preserve">Standard maintenance windows: outside 08:00–22:00 in Customer’s primary business time zone, where feasible</w:t>
      </w:r>
    </w:p>
    <w:p>
      <w:pPr>
        <w:pStyle w:val="Heading3"/>
      </w:pPr>
      <w:bookmarkStart w:id="25" w:name="incident-response"/>
      <w:r>
        <w:t xml:space="preserve">2.3 Incident response</w:t>
      </w:r>
      <w:bookmarkEnd w:id="25"/>
    </w:p>
    <w:p>
      <w:pPr>
        <w:numPr>
          <w:ilvl w:val="0"/>
          <w:numId w:val="1003"/>
        </w:numPr>
        <w:pStyle w:val="Compact"/>
      </w:pPr>
      <w:r>
        <w:rPr>
          <w:b/>
        </w:rPr>
        <w:t xml:space="preserve">Severity 1 (production down):</w:t>
      </w:r>
      <w:r>
        <w:t xml:space="preserve"> </w:t>
      </w:r>
      <w:r>
        <w:t xml:space="preserve">initial response within 4 hours, regular updates, resolution effort 24/7</w:t>
      </w:r>
    </w:p>
    <w:p>
      <w:pPr>
        <w:numPr>
          <w:ilvl w:val="0"/>
          <w:numId w:val="1003"/>
        </w:numPr>
        <w:pStyle w:val="Compact"/>
      </w:pPr>
      <w:r>
        <w:rPr>
          <w:b/>
        </w:rPr>
        <w:t xml:space="preserve">Severity 2 (significant degradation):</w:t>
      </w:r>
      <w:r>
        <w:t xml:space="preserve"> </w:t>
      </w:r>
      <w:r>
        <w:t xml:space="preserve">initial response within 8 hours, business-hours resolution</w:t>
      </w:r>
    </w:p>
    <w:p>
      <w:pPr>
        <w:numPr>
          <w:ilvl w:val="0"/>
          <w:numId w:val="1003"/>
        </w:numPr>
        <w:pStyle w:val="Compact"/>
      </w:pPr>
      <w:r>
        <w:rPr>
          <w:b/>
        </w:rPr>
        <w:t xml:space="preserve">Severity 3 (minor issue):</w:t>
      </w:r>
      <w:r>
        <w:t xml:space="preserve"> </w:t>
      </w:r>
      <w:r>
        <w:t xml:space="preserve">initial response within 1 business day</w:t>
      </w:r>
    </w:p>
    <w:p>
      <w:r>
        <w:pict>
          <v:rect style="width:0;height:1.5pt" o:hralign="center" o:hrstd="t" o:hr="t"/>
        </w:pict>
      </w:r>
    </w:p>
    <w:p>
      <w:pPr>
        <w:pStyle w:val="Heading2"/>
      </w:pPr>
      <w:bookmarkStart w:id="26" w:name="data-location-residency-and-segregation"/>
      <w:r>
        <w:t xml:space="preserve">3. Data location, residency, and segregation</w:t>
      </w:r>
      <w:bookmarkEnd w:id="26"/>
    </w:p>
    <w:p>
      <w:pPr>
        <w:pStyle w:val="Heading3"/>
      </w:pPr>
      <w:bookmarkStart w:id="27" w:name="primary-data-location"/>
      <w:r>
        <w:t xml:space="preserve">3.1 Primary data location</w:t>
      </w:r>
      <w:bookmarkEnd w:id="27"/>
    </w:p>
    <w:p>
      <w:pPr>
        <w:pStyle w:val="FirstParagraph"/>
      </w:pPr>
      <w:r>
        <w:t xml:space="preserve">Customer Data is processed and stored within the European Union (EU) by default. Specific region (e.g., Frankfurt, Amsterdam, Dublin) confirmed in Schedule B.</w:t>
      </w:r>
    </w:p>
    <w:p>
      <w:pPr>
        <w:pStyle w:val="Heading3"/>
      </w:pPr>
      <w:bookmarkStart w:id="28" w:name="data-segregation"/>
      <w:r>
        <w:t xml:space="preserve">3.2 Data segregation</w:t>
      </w:r>
      <w:bookmarkEnd w:id="28"/>
    </w:p>
    <w:p>
      <w:pPr>
        <w:numPr>
          <w:ilvl w:val="0"/>
          <w:numId w:val="1004"/>
        </w:numPr>
        <w:pStyle w:val="Compact"/>
      </w:pPr>
      <w:r>
        <w:t xml:space="preserve">Customer Data is logically segregated from other customers’ data through application-layer multi-tenancy</w:t>
      </w:r>
    </w:p>
    <w:p>
      <w:pPr>
        <w:numPr>
          <w:ilvl w:val="0"/>
          <w:numId w:val="1004"/>
        </w:numPr>
        <w:pStyle w:val="Compact"/>
      </w:pPr>
      <w:r>
        <w:t xml:space="preserve">Tenant identifiers enforce access control at every database query</w:t>
      </w:r>
    </w:p>
    <w:p>
      <w:pPr>
        <w:numPr>
          <w:ilvl w:val="0"/>
          <w:numId w:val="1004"/>
        </w:numPr>
        <w:pStyle w:val="Compact"/>
      </w:pPr>
      <w:r>
        <w:t xml:space="preserve">Aggregated and anonymised data (used for industry benchmarks per the MSA) is produced through a defined pipeline that removes Customer-identifying attributes</w:t>
      </w:r>
    </w:p>
    <w:p>
      <w:pPr>
        <w:pStyle w:val="Heading3"/>
      </w:pPr>
      <w:bookmarkStart w:id="29" w:name="cross-border-transfers"/>
      <w:r>
        <w:t xml:space="preserve">3.3 Cross-border transfers</w:t>
      </w:r>
      <w:bookmarkEnd w:id="29"/>
    </w:p>
    <w:p>
      <w:pPr>
        <w:numPr>
          <w:ilvl w:val="0"/>
          <w:numId w:val="1005"/>
        </w:numPr>
        <w:pStyle w:val="Compact"/>
      </w:pPr>
      <w:r>
        <w:t xml:space="preserve">Where a sub-processor processes Customer Data outside the EU/EEA, the European Commission’s Standard Contractual Clauses (Module 2 — controller to processor) are in place</w:t>
      </w:r>
    </w:p>
    <w:p>
      <w:pPr>
        <w:numPr>
          <w:ilvl w:val="0"/>
          <w:numId w:val="1005"/>
        </w:numPr>
        <w:pStyle w:val="Compact"/>
      </w:pPr>
      <w:r>
        <w:t xml:space="preserve">Supplementary measures (encryption in transit and at rest, pseudonymisation where feasible) apply</w:t>
      </w:r>
    </w:p>
    <w:p>
      <w:pPr>
        <w:numPr>
          <w:ilvl w:val="0"/>
          <w:numId w:val="1005"/>
        </w:numPr>
        <w:pStyle w:val="Compact"/>
      </w:pPr>
      <w:r>
        <w:t xml:space="preserve">Full sub-processor list and transfer-mechanism status is in Schedule C</w:t>
      </w:r>
    </w:p>
    <w:p>
      <w:r>
        <w:pict>
          <v:rect style="width:0;height:1.5pt" o:hralign="center" o:hrstd="t" o:hr="t"/>
        </w:pict>
      </w:r>
    </w:p>
    <w:p>
      <w:pPr>
        <w:pStyle w:val="Heading2"/>
      </w:pPr>
      <w:bookmarkStart w:id="30" w:name="security-controls"/>
      <w:r>
        <w:t xml:space="preserve">4. Security controls</w:t>
      </w:r>
      <w:bookmarkEnd w:id="30"/>
    </w:p>
    <w:p>
      <w:pPr>
        <w:pStyle w:val="Heading3"/>
      </w:pPr>
      <w:bookmarkStart w:id="31" w:name="encryption"/>
      <w:r>
        <w:t xml:space="preserve">4.1 Encryption</w:t>
      </w:r>
      <w:bookmarkEnd w:id="31"/>
    </w:p>
    <w:p>
      <w:pPr>
        <w:numPr>
          <w:ilvl w:val="0"/>
          <w:numId w:val="1006"/>
        </w:numPr>
        <w:pStyle w:val="Compact"/>
      </w:pPr>
      <w:r>
        <w:rPr>
          <w:b/>
        </w:rPr>
        <w:t xml:space="preserve">In transit:</w:t>
      </w:r>
      <w:r>
        <w:t xml:space="preserve"> </w:t>
      </w:r>
      <w:r>
        <w:t xml:space="preserve">TLS 1.2 or higher for all network communication</w:t>
      </w:r>
    </w:p>
    <w:p>
      <w:pPr>
        <w:numPr>
          <w:ilvl w:val="0"/>
          <w:numId w:val="1006"/>
        </w:numPr>
        <w:pStyle w:val="Compact"/>
      </w:pPr>
      <w:r>
        <w:rPr>
          <w:b/>
        </w:rPr>
        <w:t xml:space="preserve">At rest:</w:t>
      </w:r>
      <w:r>
        <w:t xml:space="preserve"> </w:t>
      </w:r>
      <w:r>
        <w:t xml:space="preserve">AES-256 for all Customer Data stored in the écentic platform</w:t>
      </w:r>
    </w:p>
    <w:p>
      <w:pPr>
        <w:numPr>
          <w:ilvl w:val="0"/>
          <w:numId w:val="1006"/>
        </w:numPr>
        <w:pStyle w:val="Compact"/>
      </w:pPr>
      <w:r>
        <w:rPr>
          <w:b/>
        </w:rPr>
        <w:t xml:space="preserve">Backups:</w:t>
      </w:r>
      <w:r>
        <w:t xml:space="preserve"> </w:t>
      </w:r>
      <w:r>
        <w:t xml:space="preserve">encrypted at rest using AES-256, stored in the same region as primary data unless otherwise agreed</w:t>
      </w:r>
    </w:p>
    <w:p>
      <w:pPr>
        <w:pStyle w:val="Heading3"/>
      </w:pPr>
      <w:bookmarkStart w:id="32" w:name="access-control"/>
      <w:r>
        <w:t xml:space="preserve">4.2 Access control</w:t>
      </w:r>
      <w:bookmarkEnd w:id="32"/>
    </w:p>
    <w:p>
      <w:pPr>
        <w:numPr>
          <w:ilvl w:val="0"/>
          <w:numId w:val="1007"/>
        </w:numPr>
        <w:pStyle w:val="Compact"/>
      </w:pPr>
      <w:r>
        <w:rPr>
          <w:b/>
        </w:rPr>
        <w:t xml:space="preserve">Principle of least privilege</w:t>
      </w:r>
      <w:r>
        <w:t xml:space="preserve"> </w:t>
      </w:r>
      <w:r>
        <w:t xml:space="preserve">enforced for all production access</w:t>
      </w:r>
    </w:p>
    <w:p>
      <w:pPr>
        <w:numPr>
          <w:ilvl w:val="0"/>
          <w:numId w:val="1007"/>
        </w:numPr>
        <w:pStyle w:val="Compact"/>
      </w:pPr>
      <w:r>
        <w:rPr>
          <w:b/>
        </w:rPr>
        <w:t xml:space="preserve">Multi-factor authentication (MFA)</w:t>
      </w:r>
      <w:r>
        <w:t xml:space="preserve"> </w:t>
      </w:r>
      <w:r>
        <w:t xml:space="preserve">mandatory for all production access by écentic personnel</w:t>
      </w:r>
    </w:p>
    <w:p>
      <w:pPr>
        <w:numPr>
          <w:ilvl w:val="0"/>
          <w:numId w:val="1007"/>
        </w:numPr>
        <w:pStyle w:val="Compact"/>
      </w:pPr>
      <w:r>
        <w:rPr>
          <w:b/>
        </w:rPr>
        <w:t xml:space="preserve">Role-based access control (RBAC)</w:t>
      </w:r>
      <w:r>
        <w:t xml:space="preserve"> </w:t>
      </w:r>
      <w:r>
        <w:t xml:space="preserve">within the Customer-facing application, configurable by Customer</w:t>
      </w:r>
    </w:p>
    <w:p>
      <w:pPr>
        <w:numPr>
          <w:ilvl w:val="0"/>
          <w:numId w:val="1007"/>
        </w:numPr>
        <w:pStyle w:val="Compact"/>
      </w:pPr>
      <w:r>
        <w:rPr>
          <w:b/>
        </w:rPr>
        <w:t xml:space="preserve">Audit logging</w:t>
      </w:r>
      <w:r>
        <w:t xml:space="preserve"> </w:t>
      </w:r>
      <w:r>
        <w:t xml:space="preserve">of all production access, retained for 12 months minimum</w:t>
      </w:r>
    </w:p>
    <w:p>
      <w:pPr>
        <w:pStyle w:val="Heading3"/>
      </w:pPr>
      <w:bookmarkStart w:id="33" w:name="authentication"/>
      <w:r>
        <w:t xml:space="preserve">4.3 Authentication</w:t>
      </w:r>
      <w:bookmarkEnd w:id="33"/>
    </w:p>
    <w:p>
      <w:pPr>
        <w:numPr>
          <w:ilvl w:val="0"/>
          <w:numId w:val="1008"/>
        </w:numPr>
        <w:pStyle w:val="Compact"/>
      </w:pPr>
      <w:r>
        <w:t xml:space="preserve">Customer authentication via OAuth (Shopify, WooCommerce) or email + password with Better Auth (other surfaces)</w:t>
      </w:r>
    </w:p>
    <w:p>
      <w:pPr>
        <w:numPr>
          <w:ilvl w:val="0"/>
          <w:numId w:val="1008"/>
        </w:numPr>
        <w:pStyle w:val="Compact"/>
      </w:pPr>
      <w:r>
        <w:t xml:space="preserve">Single Sign-On (SSO) supported on enterprise tier via SAML or OIDC</w:t>
      </w:r>
    </w:p>
    <w:p>
      <w:pPr>
        <w:pStyle w:val="Heading3"/>
      </w:pPr>
      <w:bookmarkStart w:id="34" w:name="vulnerability-management"/>
      <w:r>
        <w:t xml:space="preserve">4.4 Vulnerability management</w:t>
      </w:r>
      <w:bookmarkEnd w:id="34"/>
    </w:p>
    <w:p>
      <w:pPr>
        <w:numPr>
          <w:ilvl w:val="0"/>
          <w:numId w:val="1009"/>
        </w:numPr>
        <w:pStyle w:val="Compact"/>
      </w:pPr>
      <w:r>
        <w:t xml:space="preserve">Routine dependency scanning via automated tooling</w:t>
      </w:r>
    </w:p>
    <w:p>
      <w:pPr>
        <w:numPr>
          <w:ilvl w:val="0"/>
          <w:numId w:val="1009"/>
        </w:numPr>
        <w:pStyle w:val="Compact"/>
      </w:pPr>
      <w:r>
        <w:t xml:space="preserve">Quarterly internal review of critical components</w:t>
      </w:r>
    </w:p>
    <w:p>
      <w:pPr>
        <w:numPr>
          <w:ilvl w:val="0"/>
          <w:numId w:val="1009"/>
        </w:numPr>
        <w:pStyle w:val="Compact"/>
      </w:pPr>
      <w:r>
        <w:t xml:space="preserve">Annual third-party penetration test (commences post SOC 2 Type I completion, target Q4 2026)</w:t>
      </w:r>
    </w:p>
    <w:p>
      <w:pPr>
        <w:numPr>
          <w:ilvl w:val="0"/>
          <w:numId w:val="1009"/>
        </w:numPr>
        <w:pStyle w:val="Compact"/>
      </w:pPr>
      <w:r>
        <w:t xml:space="preserve">Critical vulnerabilities patched within 7 days of CVE disclosure; high vulnerabilities within 30 days</w:t>
      </w:r>
    </w:p>
    <w:p>
      <w:pPr>
        <w:pStyle w:val="Heading3"/>
      </w:pPr>
      <w:bookmarkStart w:id="35" w:name="change-management"/>
      <w:r>
        <w:t xml:space="preserve">4.5 Change management</w:t>
      </w:r>
      <w:bookmarkEnd w:id="35"/>
    </w:p>
    <w:p>
      <w:pPr>
        <w:numPr>
          <w:ilvl w:val="0"/>
          <w:numId w:val="1010"/>
        </w:numPr>
        <w:pStyle w:val="Compact"/>
      </w:pPr>
      <w:r>
        <w:t xml:space="preserve">Production changes deployed via reviewed pull requests with at least one peer reviewer</w:t>
      </w:r>
    </w:p>
    <w:p>
      <w:pPr>
        <w:numPr>
          <w:ilvl w:val="0"/>
          <w:numId w:val="1010"/>
        </w:numPr>
        <w:pStyle w:val="Compact"/>
      </w:pPr>
      <w:r>
        <w:t xml:space="preserve">Production deployment requires explicit deployment approval</w:t>
      </w:r>
    </w:p>
    <w:p>
      <w:pPr>
        <w:numPr>
          <w:ilvl w:val="0"/>
          <w:numId w:val="1010"/>
        </w:numPr>
        <w:pStyle w:val="Compact"/>
      </w:pPr>
      <w:r>
        <w:t xml:space="preserve">Rollback procedure documented and tested quarterly</w:t>
      </w:r>
    </w:p>
    <w:p>
      <w:r>
        <w:pict>
          <v:rect style="width:0;height:1.5pt" o:hralign="center" o:hrstd="t" o:hr="t"/>
        </w:pict>
      </w:r>
    </w:p>
    <w:p>
      <w:pPr>
        <w:pStyle w:val="Heading2"/>
      </w:pPr>
      <w:bookmarkStart w:id="36" w:name="compliance"/>
      <w:r>
        <w:t xml:space="preserve">5. Compliance</w:t>
      </w:r>
      <w:bookmarkEnd w:id="36"/>
    </w:p>
    <w:p>
      <w:pPr>
        <w:pStyle w:val="Heading3"/>
      </w:pPr>
      <w:bookmarkStart w:id="37" w:name="certifications-and-frameworks"/>
      <w:r>
        <w:t xml:space="preserve">5.1 Certifications and frameworks</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Status</w:t>
            </w:r>
          </w:p>
        </w:tc>
      </w:tr>
      <w:tr>
        <w:tc>
          <w:p>
            <w:pPr>
              <w:pStyle w:val="Compact"/>
              <w:jc w:val="left"/>
            </w:pPr>
            <w:r>
              <w:rPr>
                <w:b/>
              </w:rPr>
              <w:t xml:space="preserve">GDPR</w:t>
            </w:r>
          </w:p>
        </w:tc>
        <w:tc>
          <w:p>
            <w:pPr>
              <w:pStyle w:val="Compact"/>
              <w:jc w:val="left"/>
            </w:pPr>
            <w:r>
              <w:t xml:space="preserve">In compliance — DPA available, documented in</w:t>
            </w:r>
            <w:r>
              <w:t xml:space="preserve"> </w:t>
            </w:r>
            <w:r>
              <w:rPr>
                <w:rStyle w:val="VerbatimChar"/>
              </w:rPr>
              <w:t xml:space="preserve">dataroom/1_company_fundamentals/1.5_legal/gdpr-compliance.pdf</w:t>
            </w:r>
          </w:p>
        </w:tc>
      </w:tr>
      <w:tr>
        <w:tc>
          <w:p>
            <w:pPr>
              <w:pStyle w:val="Compact"/>
              <w:jc w:val="left"/>
            </w:pPr>
            <w:r>
              <w:rPr>
                <w:b/>
              </w:rPr>
              <w:t xml:space="preserve">SOC 2 Type I</w:t>
            </w:r>
          </w:p>
        </w:tc>
        <w:tc>
          <w:p>
            <w:pPr>
              <w:pStyle w:val="Compact"/>
              <w:jc w:val="left"/>
            </w:pPr>
            <w:r>
              <w:t xml:space="preserve">In progress — Vanta engagement signed, target completion Q3 2026</w:t>
            </w:r>
          </w:p>
        </w:tc>
      </w:tr>
      <w:tr>
        <w:tc>
          <w:p>
            <w:pPr>
              <w:pStyle w:val="Compact"/>
              <w:jc w:val="left"/>
            </w:pPr>
            <w:r>
              <w:rPr>
                <w:b/>
              </w:rPr>
              <w:t xml:space="preserve">SOC 2 Type II</w:t>
            </w:r>
          </w:p>
        </w:tc>
        <w:tc>
          <w:p>
            <w:pPr>
              <w:pStyle w:val="Compact"/>
              <w:jc w:val="left"/>
            </w:pPr>
            <w:r>
              <w:t xml:space="preserve">Planned — observation window opens Q3 2026, target completion Q1 2027</w:t>
            </w:r>
          </w:p>
        </w:tc>
      </w:tr>
      <w:tr>
        <w:tc>
          <w:p>
            <w:pPr>
              <w:pStyle w:val="Compact"/>
              <w:jc w:val="left"/>
            </w:pPr>
            <w:r>
              <w:rPr>
                <w:b/>
              </w:rPr>
              <w:t xml:space="preserve">ISO 27001</w:t>
            </w:r>
          </w:p>
        </w:tc>
        <w:tc>
          <w:p>
            <w:pPr>
              <w:pStyle w:val="Compact"/>
              <w:jc w:val="left"/>
            </w:pPr>
            <w:r>
              <w:t xml:space="preserve">Scoping — target certification 2027</w:t>
            </w:r>
          </w:p>
        </w:tc>
      </w:tr>
      <w:tr>
        <w:tc>
          <w:p>
            <w:pPr>
              <w:pStyle w:val="Compact"/>
              <w:jc w:val="left"/>
            </w:pPr>
            <w:r>
              <w:rPr>
                <w:b/>
              </w:rPr>
              <w:t xml:space="preserve">CCPA</w:t>
            </w:r>
          </w:p>
        </w:tc>
        <w:tc>
          <w:p>
            <w:pPr>
              <w:pStyle w:val="Compact"/>
              <w:jc w:val="left"/>
            </w:pPr>
            <w:r>
              <w:t xml:space="preserve">In compliance — opt-out and disclosure mechanisms supported for California-resident data subjects</w:t>
            </w:r>
          </w:p>
        </w:tc>
      </w:tr>
      <w:tr>
        <w:tc>
          <w:p>
            <w:pPr>
              <w:pStyle w:val="Compact"/>
              <w:jc w:val="left"/>
            </w:pPr>
            <w:r>
              <w:rPr>
                <w:b/>
              </w:rPr>
              <w:t xml:space="preserve">HIPAA</w:t>
            </w:r>
          </w:p>
        </w:tc>
        <w:tc>
          <w:p>
            <w:pPr>
              <w:pStyle w:val="Compact"/>
              <w:jc w:val="left"/>
            </w:pPr>
            <w:r>
              <w:t xml:space="preserve">Not applicable — écentic does not process Protected Health Information</w:t>
            </w:r>
          </w:p>
        </w:tc>
      </w:tr>
      <w:tr>
        <w:tc>
          <w:p>
            <w:pPr>
              <w:pStyle w:val="Compact"/>
              <w:jc w:val="left"/>
            </w:pPr>
            <w:r>
              <w:rPr>
                <w:b/>
              </w:rPr>
              <w:t xml:space="preserve">PCI DSS</w:t>
            </w:r>
          </w:p>
        </w:tc>
        <w:tc>
          <w:p>
            <w:pPr>
              <w:pStyle w:val="Compact"/>
              <w:jc w:val="left"/>
            </w:pPr>
            <w:r>
              <w:t xml:space="preserve">Not applicable — écentic does not store or transmit cardholder data</w:t>
            </w:r>
          </w:p>
        </w:tc>
      </w:tr>
    </w:tbl>
    <w:p>
      <w:pPr>
        <w:pStyle w:val="Heading3"/>
      </w:pPr>
      <w:bookmarkStart w:id="38" w:name="customer-audit-rights"/>
      <w:r>
        <w:t xml:space="preserve">5.2 Customer audit rights</w:t>
      </w:r>
      <w:bookmarkEnd w:id="38"/>
    </w:p>
    <w:p>
      <w:pPr>
        <w:numPr>
          <w:ilvl w:val="0"/>
          <w:numId w:val="1011"/>
        </w:numPr>
        <w:pStyle w:val="Compact"/>
      </w:pPr>
      <w:r>
        <w:t xml:space="preserve">Customer may, on reasonable advance written notice (minimum 30 days), audit écentic’s compliance with this Agreement once per calendar year</w:t>
      </w:r>
    </w:p>
    <w:p>
      <w:pPr>
        <w:numPr>
          <w:ilvl w:val="0"/>
          <w:numId w:val="1011"/>
        </w:numPr>
        <w:pStyle w:val="Compact"/>
      </w:pPr>
      <w:r>
        <w:t xml:space="preserve">Audits may be conducted by Customer or by a mutually-agreed third-party auditor under NDA</w:t>
      </w:r>
    </w:p>
    <w:p>
      <w:pPr>
        <w:numPr>
          <w:ilvl w:val="0"/>
          <w:numId w:val="1011"/>
        </w:numPr>
        <w:pStyle w:val="Compact"/>
      </w:pPr>
      <w:r>
        <w:t xml:space="preserve">All reasonable audit costs are borne by Customer; if material non-compliance is identified, écentic bears reasonable remediation costs</w:t>
      </w:r>
    </w:p>
    <w:p>
      <w:r>
        <w:pict>
          <v:rect style="width:0;height:1.5pt" o:hralign="center" o:hrstd="t" o:hr="t"/>
        </w:pict>
      </w:r>
    </w:p>
    <w:p>
      <w:pPr>
        <w:pStyle w:val="Heading2"/>
      </w:pPr>
      <w:bookmarkStart w:id="39" w:name="personal-data-and-subprocessing"/>
      <w:r>
        <w:t xml:space="preserve">6. Personal data and subprocessing</w:t>
      </w:r>
      <w:bookmarkEnd w:id="39"/>
    </w:p>
    <w:p>
      <w:pPr>
        <w:pStyle w:val="FirstParagraph"/>
      </w:pPr>
      <w:r>
        <w:t xml:space="preserve">This Section incorporates by reference the Data Processing Addendum (DPA) attached to the MSA and the SCCs (Module 2) where applicable.</w:t>
      </w:r>
    </w:p>
    <w:p>
      <w:pPr>
        <w:pStyle w:val="Heading3"/>
      </w:pPr>
      <w:bookmarkStart w:id="40" w:name="no-model-training"/>
      <w:r>
        <w:t xml:space="preserve">6.1 No model training</w:t>
      </w:r>
      <w:bookmarkEnd w:id="40"/>
    </w:p>
    <w:p>
      <w:pPr>
        <w:pStyle w:val="FirstParagraph"/>
      </w:pPr>
      <w:r>
        <w:t xml:space="preserve">écentic confirms it does not use Customer Data, or any data derived therefrom that identifies Customer or any individual, to train any artificial intelligence model. This obligation flows through to all sub-processors via contractual restrictions.</w:t>
      </w:r>
    </w:p>
    <w:p>
      <w:pPr>
        <w:pStyle w:val="Heading3"/>
      </w:pPr>
      <w:bookmarkStart w:id="41" w:name="sub-processor-changes"/>
      <w:r>
        <w:t xml:space="preserve">6.2 Sub-processor changes</w:t>
      </w:r>
      <w:bookmarkEnd w:id="41"/>
    </w:p>
    <w:p>
      <w:pPr>
        <w:pStyle w:val="FirstParagraph"/>
      </w:pPr>
      <w:r>
        <w:t xml:space="preserve">écentic notifies Customer at least 30 days in advance of any new sub-processor handling Personal Data, and Customer may object during that period.</w:t>
      </w:r>
    </w:p>
    <w:p>
      <w:pPr>
        <w:pStyle w:val="Heading3"/>
      </w:pPr>
      <w:bookmarkStart w:id="42" w:name="data-subject-requests"/>
      <w:r>
        <w:t xml:space="preserve">6.3 Data subject requests</w:t>
      </w:r>
      <w:bookmarkEnd w:id="42"/>
    </w:p>
    <w:p>
      <w:pPr>
        <w:pStyle w:val="FirstParagraph"/>
      </w:pPr>
      <w:r>
        <w:t xml:space="preserve">écentic supports Customer’s response to data subject requests under GDPR, CCPA, and similar regimes through documented tooling and a 30-day response SLA on internal requests.</w:t>
      </w:r>
    </w:p>
    <w:p>
      <w:r>
        <w:pict>
          <v:rect style="width:0;height:1.5pt" o:hralign="center" o:hrstd="t" o:hr="t"/>
        </w:pict>
      </w:r>
    </w:p>
    <w:p>
      <w:pPr>
        <w:pStyle w:val="Heading2"/>
      </w:pPr>
      <w:bookmarkStart w:id="43" w:name="X6f53d56edaacb75113053ef4ffeacbed3d2ec77"/>
      <w:r>
        <w:t xml:space="preserve">7. Business continuity and disaster recovery</w:t>
      </w:r>
      <w:bookmarkEnd w:id="43"/>
    </w:p>
    <w:p>
      <w:pPr>
        <w:pStyle w:val="Heading3"/>
      </w:pPr>
      <w:bookmarkStart w:id="44" w:name="backups"/>
      <w:r>
        <w:t xml:space="preserve">7.1 Backups</w:t>
      </w:r>
      <w:bookmarkEnd w:id="44"/>
    </w:p>
    <w:p>
      <w:pPr>
        <w:numPr>
          <w:ilvl w:val="0"/>
          <w:numId w:val="1012"/>
        </w:numPr>
        <w:pStyle w:val="Compact"/>
      </w:pPr>
      <w:r>
        <w:t xml:space="preserve">Customer Data backed up at minimum daily</w:t>
      </w:r>
    </w:p>
    <w:p>
      <w:pPr>
        <w:numPr>
          <w:ilvl w:val="0"/>
          <w:numId w:val="1012"/>
        </w:numPr>
        <w:pStyle w:val="Compact"/>
      </w:pPr>
      <w:r>
        <w:t xml:space="preserve">Backups retained for 30 days minimum</w:t>
      </w:r>
    </w:p>
    <w:p>
      <w:pPr>
        <w:numPr>
          <w:ilvl w:val="0"/>
          <w:numId w:val="1012"/>
        </w:numPr>
        <w:pStyle w:val="Compact"/>
      </w:pPr>
      <w:r>
        <w:t xml:space="preserve">Restore procedure documented and tested quarterly</w:t>
      </w:r>
    </w:p>
    <w:p>
      <w:pPr>
        <w:pStyle w:val="Heading3"/>
      </w:pPr>
      <w:bookmarkStart w:id="45" w:name="recovery-objectives"/>
      <w:r>
        <w:t xml:space="preserve">7.2 Recovery objectives</w:t>
      </w:r>
      <w:bookmarkEnd w:id="45"/>
    </w:p>
    <w:p>
      <w:pPr>
        <w:numPr>
          <w:ilvl w:val="0"/>
          <w:numId w:val="1013"/>
        </w:numPr>
        <w:pStyle w:val="Compact"/>
      </w:pPr>
      <w:r>
        <w:rPr>
          <w:b/>
        </w:rPr>
        <w:t xml:space="preserve">Recovery Time Objective (RTO):</w:t>
      </w:r>
      <w:r>
        <w:t xml:space="preserve"> </w:t>
      </w:r>
      <w:r>
        <w:t xml:space="preserve">24 hours from incident declaration</w:t>
      </w:r>
    </w:p>
    <w:p>
      <w:pPr>
        <w:numPr>
          <w:ilvl w:val="0"/>
          <w:numId w:val="1013"/>
        </w:numPr>
        <w:pStyle w:val="Compact"/>
      </w:pPr>
      <w:r>
        <w:rPr>
          <w:b/>
        </w:rPr>
        <w:t xml:space="preserve">Recovery Point Objective (RPO):</w:t>
      </w:r>
      <w:r>
        <w:t xml:space="preserve"> </w:t>
      </w:r>
      <w:r>
        <w:t xml:space="preserve">24 hours of potential data loss</w:t>
      </w:r>
    </w:p>
    <w:p>
      <w:pPr>
        <w:pStyle w:val="Heading3"/>
      </w:pPr>
      <w:bookmarkStart w:id="46" w:name="geographic-redundancy"/>
      <w:r>
        <w:t xml:space="preserve">7.3 Geographic redundancy</w:t>
      </w:r>
      <w:bookmarkEnd w:id="46"/>
    </w:p>
    <w:p>
      <w:pPr>
        <w:pStyle w:val="FirstParagraph"/>
      </w:pPr>
      <w:r>
        <w:t xml:space="preserve">At enterprise tier, multi-region backup replication may be enabled on request (Schedule B).</w:t>
      </w:r>
    </w:p>
    <w:p>
      <w:r>
        <w:pict>
          <v:rect style="width:0;height:1.5pt" o:hralign="center" o:hrstd="t" o:hr="t"/>
        </w:pict>
      </w:r>
    </w:p>
    <w:p>
      <w:pPr>
        <w:pStyle w:val="Heading2"/>
      </w:pPr>
      <w:bookmarkStart w:id="47" w:name="incident-notification"/>
      <w:r>
        <w:t xml:space="preserve">8. Incident notification</w:t>
      </w:r>
      <w:bookmarkEnd w:id="47"/>
    </w:p>
    <w:p>
      <w:pPr>
        <w:pStyle w:val="Heading3"/>
      </w:pPr>
      <w:bookmarkStart w:id="48" w:name="personal-data-breach"/>
      <w:r>
        <w:t xml:space="preserve">8.1 Personal data breach</w:t>
      </w:r>
      <w:bookmarkEnd w:id="48"/>
    </w:p>
    <w:p>
      <w:pPr>
        <w:pStyle w:val="FirstParagraph"/>
      </w:pPr>
      <w:r>
        <w:t xml:space="preserve">If écentic becomes aware of a Personal Data Breach affecting Customer Data, écentic notifies Customer without undue delay and in any event within 72 hours of confirmed determination.</w:t>
      </w:r>
    </w:p>
    <w:p>
      <w:pPr>
        <w:pStyle w:val="Heading3"/>
      </w:pPr>
      <w:bookmarkStart w:id="49" w:name="security-incident-non-breach"/>
      <w:r>
        <w:t xml:space="preserve">8.2 Security incident (non-breach)</w:t>
      </w:r>
      <w:bookmarkEnd w:id="49"/>
    </w:p>
    <w:p>
      <w:pPr>
        <w:pStyle w:val="FirstParagraph"/>
      </w:pPr>
      <w:r>
        <w:t xml:space="preserve">For security incidents that do not constitute a Personal Data Breach but materially affect the security of Customer Data (e.g., suspected compromise of a sub-processor), écentic notifies Customer within 7 days.</w:t>
      </w:r>
    </w:p>
    <w:p>
      <w:pPr>
        <w:pStyle w:val="Heading3"/>
      </w:pPr>
      <w:bookmarkStart w:id="50" w:name="service-incident"/>
      <w:r>
        <w:t xml:space="preserve">8.3 Service incident</w:t>
      </w:r>
      <w:bookmarkEnd w:id="50"/>
    </w:p>
    <w:p>
      <w:pPr>
        <w:pStyle w:val="FirstParagraph"/>
      </w:pPr>
      <w:r>
        <w:t xml:space="preserve">For service availability incidents (per Section 2.3), écentic notifies Customer per the incident-response SLA in Section 2.3 above.</w:t>
      </w:r>
    </w:p>
    <w:p>
      <w:r>
        <w:pict>
          <v:rect style="width:0;height:1.5pt" o:hralign="center" o:hrstd="t" o:hr="t"/>
        </w:pict>
      </w:r>
    </w:p>
    <w:p>
      <w:pPr>
        <w:pStyle w:val="Heading2"/>
      </w:pPr>
      <w:bookmarkStart w:id="51" w:name="termination-and-data-return"/>
      <w:r>
        <w:t xml:space="preserve">9. Termination and data return</w:t>
      </w:r>
      <w:bookmarkEnd w:id="51"/>
    </w:p>
    <w:p>
      <w:pPr>
        <w:pStyle w:val="Heading3"/>
      </w:pPr>
      <w:bookmarkStart w:id="52" w:name="data-export-at-termination"/>
      <w:r>
        <w:t xml:space="preserve">9.1 Data export at termination</w:t>
      </w:r>
      <w:bookmarkEnd w:id="52"/>
    </w:p>
    <w:p>
      <w:pPr>
        <w:pStyle w:val="FirstParagraph"/>
      </w:pPr>
      <w:r>
        <w:t xml:space="preserve">Within 7 days of written request following termination, écentic provides Customer with an export of Customer Data in a structured machine-readable format (JSON / CSV).</w:t>
      </w:r>
    </w:p>
    <w:p>
      <w:pPr>
        <w:pStyle w:val="Heading3"/>
      </w:pPr>
      <w:bookmarkStart w:id="53" w:name="data-deletion-at-termination"/>
      <w:r>
        <w:t xml:space="preserve">9.2 Data deletion at termination</w:t>
      </w:r>
      <w:bookmarkEnd w:id="53"/>
    </w:p>
    <w:p>
      <w:pPr>
        <w:pStyle w:val="FirstParagraph"/>
      </w:pPr>
      <w:r>
        <w:t xml:space="preserve">Following the export period (or, if Customer does not request export, 90 days after termination), écentic deletes Customer Data from production systems, with deletion from backups completing at the end of the backup retention window (90 days post-termination, maximum).</w:t>
      </w:r>
    </w:p>
    <w:p>
      <w:pPr>
        <w:pStyle w:val="Heading3"/>
      </w:pPr>
      <w:bookmarkStart w:id="54" w:name="certification-of-deletion"/>
      <w:r>
        <w:t xml:space="preserve">9.3 Certification of deletion</w:t>
      </w:r>
      <w:bookmarkEnd w:id="54"/>
    </w:p>
    <w:p>
      <w:pPr>
        <w:pStyle w:val="FirstParagraph"/>
      </w:pPr>
      <w:r>
        <w:t xml:space="preserve">On Customer’s written request, écentic provides a written certification of deletion of Customer Data.</w:t>
      </w:r>
    </w:p>
    <w:p>
      <w:r>
        <w:pict>
          <v:rect style="width:0;height:1.5pt" o:hralign="center" o:hrstd="t" o:hr="t"/>
        </w:pict>
      </w:r>
    </w:p>
    <w:p>
      <w:pPr>
        <w:pStyle w:val="Heading2"/>
      </w:pPr>
      <w:bookmarkStart w:id="55" w:name="liability-and-indemnification"/>
      <w:r>
        <w:t xml:space="preserve">10. Liability and indemnification</w:t>
      </w:r>
      <w:bookmarkEnd w:id="55"/>
    </w:p>
    <w:p>
      <w:pPr>
        <w:pStyle w:val="FirstParagraph"/>
      </w:pPr>
      <w:r>
        <w:t xml:space="preserve">The MSA’s liability and indemnification provisions govern. This Agreement does not increase or decrease the limits or scope of either party’s liability under the MSA.</w:t>
      </w:r>
    </w:p>
    <w:p>
      <w:r>
        <w:pict>
          <v:rect style="width:0;height:1.5pt" o:hralign="center" o:hrstd="t" o:hr="t"/>
        </w:pict>
      </w:r>
    </w:p>
    <w:p>
      <w:pPr>
        <w:pStyle w:val="Heading2"/>
      </w:pPr>
      <w:bookmarkStart w:id="56" w:name="general"/>
      <w:r>
        <w:t xml:space="preserve">11. General</w:t>
      </w:r>
      <w:bookmarkEnd w:id="56"/>
    </w:p>
    <w:p>
      <w:pPr>
        <w:numPr>
          <w:ilvl w:val="0"/>
          <w:numId w:val="1014"/>
        </w:numPr>
        <w:pStyle w:val="Compact"/>
      </w:pPr>
      <w:r>
        <w:rPr>
          <w:b/>
        </w:rPr>
        <w:t xml:space="preserve">Governing law:</w:t>
      </w:r>
      <w:r>
        <w:t xml:space="preserve"> </w:t>
      </w:r>
      <w:r>
        <w:t xml:space="preserve">This Agreement is governed by the laws of the Republic of Albania.</w:t>
      </w:r>
    </w:p>
    <w:p>
      <w:pPr>
        <w:numPr>
          <w:ilvl w:val="0"/>
          <w:numId w:val="1014"/>
        </w:numPr>
        <w:pStyle w:val="Compact"/>
      </w:pPr>
      <w:r>
        <w:rPr>
          <w:b/>
        </w:rPr>
        <w:t xml:space="preserve">Order of precedence:</w:t>
      </w:r>
      <w:r>
        <w:t xml:space="preserve"> </w:t>
      </w:r>
      <w:r>
        <w:t xml:space="preserve">This Agreement governs over the MSA for technical and security matters. The DPA governs over both for personal data processing matters.</w:t>
      </w:r>
    </w:p>
    <w:p>
      <w:pPr>
        <w:numPr>
          <w:ilvl w:val="0"/>
          <w:numId w:val="1014"/>
        </w:numPr>
        <w:pStyle w:val="Compact"/>
      </w:pPr>
      <w:r>
        <w:rPr>
          <w:b/>
        </w:rPr>
        <w:t xml:space="preserve">Amendment:</w:t>
      </w:r>
      <w:r>
        <w:t xml:space="preserve"> </w:t>
      </w:r>
      <w:r>
        <w:t xml:space="preserve">Any amendment must be in writing and signed by both Parties.</w:t>
      </w:r>
    </w:p>
    <w:p>
      <w:pPr>
        <w:numPr>
          <w:ilvl w:val="0"/>
          <w:numId w:val="1014"/>
        </w:numPr>
        <w:pStyle w:val="Compact"/>
      </w:pPr>
      <w:r>
        <w:rPr>
          <w:b/>
        </w:rPr>
        <w:t xml:space="preserve">Counterparts:</w:t>
      </w:r>
      <w:r>
        <w:t xml:space="preserve"> </w:t>
      </w:r>
      <w:r>
        <w:t xml:space="preserve">This Agreement may be executed in counterparts, including electronic, each of which is deemed an original.</w:t>
      </w:r>
    </w:p>
    <w:p>
      <w:r>
        <w:pict>
          <v:rect style="width:0;height:1.5pt" o:hralign="center" o:hrstd="t" o:hr="t"/>
        </w:pict>
      </w:r>
    </w:p>
    <w:p>
      <w:pPr>
        <w:pStyle w:val="FirstParagraph"/>
      </w:pPr>
      <w:r>
        <w:t xml:space="preserve">IN WITNESS WHEREOF, the Parties have executed this Tech &amp; Security Agreement as of the Effective Date.</w:t>
      </w:r>
    </w:p>
    <w:p>
      <w:pPr>
        <w:pStyle w:val="BodyText"/>
      </w:pPr>
      <w:r>
        <w:rPr>
          <w:b/>
        </w:rPr>
        <w:t xml:space="preserve">écentic shpk</w:t>
      </w:r>
      <w:r>
        <w:t xml:space="preserve"> </w:t>
      </w:r>
      <w:r>
        <w:t xml:space="preserve">By: ________________________</w:t>
      </w:r>
      <w:r>
        <w:t xml:space="preserve"> </w:t>
      </w:r>
      <w:r>
        <w:t xml:space="preserve">Name: [SIGNATORY NAME]</w:t>
      </w:r>
      <w:r>
        <w:t xml:space="preserve"> </w:t>
      </w:r>
      <w:r>
        <w:t xml:space="preserve">Title: [TITLE]</w:t>
      </w:r>
      <w:r>
        <w:t xml:space="preserve"> </w:t>
      </w:r>
      <w:r>
        <w:t xml:space="preserve">Date: ________________________</w:t>
      </w:r>
    </w:p>
    <w:p>
      <w:pPr>
        <w:pStyle w:val="BodyText"/>
      </w:pPr>
      <w:r>
        <w:rPr>
          <w:b/>
        </w:rPr>
        <w:t xml:space="preserve">[CUSTOMER LEGAL NAME]</w:t>
      </w:r>
      <w:r>
        <w:t xml:space="preserve"> </w:t>
      </w:r>
      <w:r>
        <w:t xml:space="preserve">By: ________________________</w:t>
      </w:r>
      <w:r>
        <w:t xml:space="preserve"> </w:t>
      </w:r>
      <w:r>
        <w:t xml:space="preserve">Name: [SIGNATORY NAME]</w:t>
      </w:r>
      <w:r>
        <w:t xml:space="preserve"> </w:t>
      </w:r>
      <w:r>
        <w:t xml:space="preserve">Title: [TITLE]</w:t>
      </w:r>
      <w:r>
        <w:t xml:space="preserve"> </w:t>
      </w:r>
      <w:r>
        <w:t xml:space="preserve">Date: ________________________</w:t>
      </w:r>
    </w:p>
    <w:p>
      <w:r>
        <w:pict>
          <v:rect style="width:0;height:1.5pt" o:hralign="center" o:hrstd="t" o:hr="t"/>
        </w:pict>
      </w:r>
    </w:p>
    <w:p>
      <w:pPr>
        <w:pStyle w:val="Heading2"/>
      </w:pPr>
      <w:bookmarkStart w:id="57" w:name="schedule-a-service-level-credits"/>
      <w:r>
        <w:t xml:space="preserve">Schedule A — Service Level Credits</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Monthly uptime</w:t>
            </w:r>
          </w:p>
        </w:tc>
        <w:tc>
          <w:tcPr>
            <w:tcBorders>
              <w:bottom w:val="single"/>
            </w:tcBorders>
            <w:vAlign w:val="bottom"/>
          </w:tcPr>
          <w:p>
            <w:pPr>
              <w:pStyle w:val="Compact"/>
              <w:jc w:val="left"/>
            </w:pPr>
            <w:r>
              <w:t xml:space="preserve">Service credit</w:t>
            </w:r>
          </w:p>
        </w:tc>
      </w:tr>
      <w:tr>
        <w:tc>
          <w:p>
            <w:pPr>
              <w:pStyle w:val="Compact"/>
              <w:jc w:val="left"/>
            </w:pPr>
            <w:r>
              <w:t xml:space="preserve">99.5% or above</w:t>
            </w:r>
          </w:p>
        </w:tc>
        <w:tc>
          <w:p>
            <w:pPr>
              <w:pStyle w:val="Compact"/>
              <w:jc w:val="left"/>
            </w:pPr>
            <w:r>
              <w:t xml:space="preserve">0% (no credit)</w:t>
            </w:r>
          </w:p>
        </w:tc>
      </w:tr>
      <w:tr>
        <w:tc>
          <w:p>
            <w:pPr>
              <w:pStyle w:val="Compact"/>
              <w:jc w:val="left"/>
            </w:pPr>
            <w:r>
              <w:t xml:space="preserve">99.0% – 99.49%</w:t>
            </w:r>
          </w:p>
        </w:tc>
        <w:tc>
          <w:p>
            <w:pPr>
              <w:pStyle w:val="Compact"/>
              <w:jc w:val="left"/>
            </w:pPr>
            <w:r>
              <w:t xml:space="preserve">5% of monthly fee</w:t>
            </w:r>
          </w:p>
        </w:tc>
      </w:tr>
      <w:tr>
        <w:tc>
          <w:p>
            <w:pPr>
              <w:pStyle w:val="Compact"/>
              <w:jc w:val="left"/>
            </w:pPr>
            <w:r>
              <w:t xml:space="preserve">98.0% – 98.99%</w:t>
            </w:r>
          </w:p>
        </w:tc>
        <w:tc>
          <w:p>
            <w:pPr>
              <w:pStyle w:val="Compact"/>
              <w:jc w:val="left"/>
            </w:pPr>
            <w:r>
              <w:t xml:space="preserve">10% of monthly fee</w:t>
            </w:r>
          </w:p>
        </w:tc>
      </w:tr>
      <w:tr>
        <w:tc>
          <w:p>
            <w:pPr>
              <w:pStyle w:val="Compact"/>
              <w:jc w:val="left"/>
            </w:pPr>
            <w:r>
              <w:t xml:space="preserve">Below 98.0%</w:t>
            </w:r>
          </w:p>
        </w:tc>
        <w:tc>
          <w:p>
            <w:pPr>
              <w:pStyle w:val="Compact"/>
              <w:jc w:val="left"/>
            </w:pPr>
            <w:r>
              <w:t xml:space="preserve">25% of monthly fee</w:t>
            </w:r>
          </w:p>
        </w:tc>
      </w:tr>
    </w:tbl>
    <w:p>
      <w:pPr>
        <w:pStyle w:val="BodyText"/>
      </w:pPr>
      <w:r>
        <w:t xml:space="preserve">Credits are applied to the next monthly invoice. Maximum aggregate credits per month: 25% of that month’s fee.</w:t>
      </w:r>
    </w:p>
    <w:p>
      <w:pPr>
        <w:pStyle w:val="Heading2"/>
      </w:pPr>
      <w:bookmarkStart w:id="58" w:name="schedule-b-data-location"/>
      <w:r>
        <w:t xml:space="preserve">Schedule B — Data Location</w:t>
      </w:r>
      <w:bookmarkEnd w:id="58"/>
    </w:p>
    <w:p>
      <w:pPr>
        <w:pStyle w:val="FirstParagraph"/>
      </w:pPr>
      <w:r>
        <w:t xml:space="preserve">[Specify EU region(s) where Customer Data is stored. Specify any agreed multi-region or DR replication arrangement.]</w:t>
      </w:r>
    </w:p>
    <w:p>
      <w:pPr>
        <w:pStyle w:val="Heading2"/>
      </w:pPr>
      <w:bookmarkStart w:id="59" w:name="schedule-c-sub-processor-list"/>
      <w:r>
        <w:t xml:space="preserve">Schedule C — Sub-Processor List</w:t>
      </w:r>
      <w:bookmarkEnd w:id="59"/>
    </w:p>
    <w:p>
      <w:pPr>
        <w:pStyle w:val="FirstParagraph"/>
      </w:pPr>
      <w:r>
        <w:t xml:space="preserve">[Current sub-processor list with location and transfer mechanism. Refreshed quarterly. Customer notified of changes per Section 6.2.]</w:t>
      </w:r>
    </w:p>
    <w:sectPr/>
    <w:headerReference xmlns:r="http://schemas.openxmlformats.org/officeDocument/2006/relationships" w:type="default" r:id="rId9"/>
    <w:footerReference xmlns:r="http://schemas.openxmlformats.org/officeDocument/2006/relationships" w:type="default" r:id="rId1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1B7A38"/>
    <w:pPr>
      <w:tabs>
        <w:tab w:val="center" w:leader="none" w:pos="4680"/>
        <w:tab w:val="right" w:leader="none" w:pos="9360"/>
      </w:tabs>
      <w:spacing w:after="0" w:line="240" w:lineRule="auto"/>
    </w:pPr>
  </w:style>
  <w:style w:type="paragraph" w:styleId="Footer">
    <w:uiPriority w:val="99"/>
    <w:name w:val="footer"/>
    <w:basedOn w:val="Normal"/>
    <w:unhideWhenUsed/>
    <w:rsid w:val="531B7A3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cefd545ed1e4998" /><Relationship Type="http://schemas.openxmlformats.org/officeDocument/2006/relationships/footer" Target="/word/footer.xml" Id="R084a1feab95247cf" /></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2026-06-11T12:37:16Z</dcterms:created>
  <dcterms:modified xsi:type="dcterms:W3CDTF">2026-06-11T12:37:16Z</dcterms:modified>
</cp:coreProperties>
</file>

<file path=docProps/custom.xml><?xml version="1.0" encoding="utf-8"?>
<Properties xmlns="http://schemas.openxmlformats.org/officeDocument/2006/custom-properties" xmlns:vt="http://schemas.openxmlformats.org/officeDocument/2006/docPropsVTypes"/>
</file>