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customer-success-stories"/>
      <w:r>
        <w:t xml:space="preserve">écentic — Customer Success Stories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BodyText"/>
      </w:pPr>
      <w:r>
        <w:t xml:space="preserve">A small but specific set of measurable outcomes from real paying customers. Each entry is verifiable, in the data, and approved for external use unless flagged otherwise.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c0adc48da86818d786bc6c51e4904350134d8b"/>
      <w:r>
        <w:t xml:space="preserve">1. Dua Flavours UK — 0 → top 5 on a high-intent local query</w:t>
      </w:r>
      <w:bookmarkEnd w:id="21"/>
    </w:p>
    <w:p>
      <w:pPr>
        <w:pStyle w:val="FirstParagraph"/>
      </w:pPr>
      <w:r>
        <w:rPr>
          <w:b/>
        </w:rPr>
        <w:t xml:space="preserve">Category:</w:t>
      </w:r>
      <w:r>
        <w:t xml:space="preserve"> </w:t>
      </w:r>
      <w:r>
        <w:t xml:space="preserve">Shisha flavours and lifestyle, UK</w:t>
      </w:r>
      <w:r>
        <w:t xml:space="preserve"> </w:t>
      </w:r>
      <w:r>
        <w:rPr>
          <w:b/>
        </w:rPr>
        <w:t xml:space="preserve">Engagement length:</w:t>
      </w:r>
      <w:r>
        <w:t xml:space="preserve"> </w:t>
      </w:r>
      <w:r>
        <w:t xml:space="preserve">Live since early 2026</w:t>
      </w:r>
      <w:r>
        <w:t xml:space="preserve"> </w:t>
      </w:r>
      <w:r>
        <w:rPr>
          <w:b/>
        </w:rPr>
        <w:t xml:space="preserve">Product tier:</w:t>
      </w:r>
      <w:r>
        <w:t xml:space="preserve"> </w:t>
      </w:r>
      <w:r>
        <w:t xml:space="preserve">Compete</w:t>
      </w:r>
    </w:p>
    <w:p>
      <w:pPr>
        <w:pStyle w:val="Heading3"/>
      </w:pPr>
      <w:bookmarkStart w:id="22" w:name="headline-outcome"/>
      <w:r>
        <w:t xml:space="preserve">Headline outcome</w:t>
      </w:r>
      <w:bookmarkEnd w:id="22"/>
    </w:p>
    <w:p>
      <w:pPr>
        <w:pStyle w:val="FirstParagraph"/>
      </w:pPr>
      <w:r>
        <w:t xml:space="preserve">Dua moved from</w:t>
      </w:r>
      <w:r>
        <w:t xml:space="preserve"> </w:t>
      </w:r>
      <w:r>
        <w:rPr>
          <w:b/>
        </w:rPr>
        <w:t xml:space="preserve">completely invisible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top-5 in agent shopping results</w:t>
      </w:r>
      <w:r>
        <w:t xml:space="preserve"> </w:t>
      </w:r>
      <w:r>
        <w:t xml:space="preserve">on the query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best lounge in Greater London Area</w:t>
      </w:r>
      <w:r>
        <w:rPr>
          <w:i/>
        </w:rPr>
        <w:t xml:space="preserve">”</w:t>
      </w:r>
      <w:r>
        <w:t xml:space="preserve"> </w:t>
      </w:r>
      <w:r>
        <w:t xml:space="preserve">— a high-intent local query their human-search SEO had been winning, but which they had not appeared on in agent-driven shopping.</w:t>
      </w:r>
    </w:p>
    <w:p>
      <w:pPr>
        <w:pStyle w:val="Heading3"/>
      </w:pPr>
      <w:bookmarkStart w:id="23" w:name="supporting-metrics"/>
      <w:r>
        <w:t xml:space="preserve">Supporting metrics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+12 points of agent visibility lift</w:t>
      </w:r>
      <w:r>
        <w:t xml:space="preserve"> </w:t>
      </w:r>
      <w:r>
        <w:t xml:space="preserve">(composite across GPT-4, Claude, Gemini, Perplexity)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100+ unique simulations</w:t>
      </w:r>
      <w:r>
        <w:t xml:space="preserve"> </w:t>
      </w:r>
      <w:r>
        <w:t xml:space="preserve">run across all four major AI models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Matched the Columbia / Yale 12–15 point academic ceiling</w:t>
      </w:r>
      <w:r>
        <w:t xml:space="preserve"> </w:t>
      </w:r>
      <w:r>
        <w:t xml:space="preserve">on the ACES composite benchmark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Time to first auto-published optimisation:</w:t>
      </w:r>
      <w:r>
        <w:t xml:space="preserve"> </w:t>
      </w:r>
      <w:r>
        <w:t xml:space="preserve">under 24 hours from OAuth install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Model-drift recovery:</w:t>
      </w:r>
      <w:r>
        <w:t xml:space="preserve"> </w:t>
      </w:r>
      <w:r>
        <w:t xml:space="preserve">when Gemini 3.1 → 3.2 shipped, écentic auto-re-simulated Dua’s catalogue within 24 hours, no human intervention required</w:t>
      </w:r>
    </w:p>
    <w:p>
      <w:pPr>
        <w:pStyle w:val="Heading3"/>
      </w:pPr>
      <w:bookmarkStart w:id="24" w:name="quote"/>
      <w:r>
        <w:t xml:space="preserve">Quote</w:t>
      </w:r>
      <w:bookmarkEnd w:id="24"/>
    </w:p>
    <w:p>
      <w:pPr>
        <w:pStyle w:val="BlockText"/>
      </w:pPr>
      <w:r>
        <w:t xml:space="preserve">“</w:t>
      </w:r>
      <w:r>
        <w:t xml:space="preserve">40% traffic drop after Gemini 3.1. We didn’t know why. We couldn’t fix it.</w:t>
      </w:r>
      <w:r>
        <w:t xml:space="preserve">”</w:t>
      </w:r>
      <w:r>
        <w:t xml:space="preserve"> </w:t>
      </w:r>
      <w:r>
        <w:t xml:space="preserve">— Armir Çelaj, Owner, Dua Flavours UK</w:t>
      </w:r>
    </w:p>
    <w:p>
      <w:pPr>
        <w:pStyle w:val="Heading3"/>
      </w:pPr>
      <w:bookmarkStart w:id="25" w:name="why-this-matters"/>
      <w:r>
        <w:t xml:space="preserve">Why this matters</w:t>
      </w:r>
      <w:bookmarkEnd w:id="25"/>
    </w:p>
    <w:p>
      <w:pPr>
        <w:pStyle w:val="FirstParagraph"/>
      </w:pPr>
      <w:r>
        <w:t xml:space="preserve">This is the only case study where we can show a complete arc — diagnosis, optimisation, measurement, and a measurable single-customer outcome. The full deep-dive is in</w:t>
      </w:r>
      <w:r>
        <w:t xml:space="preserve"> </w:t>
      </w:r>
      <w:r>
        <w:rPr>
          <w:rStyle w:val="VerbatimChar"/>
        </w:rPr>
        <w:t xml:space="preserve">dataroom/1_company_fundamentals/1.1_snapshot/case-study-dua-flavours.md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26181cabe3e956d2e91ce38ac0e2996502b81f0"/>
      <w:r>
        <w:t xml:space="preserve">2. Avatid — early traction, beauty and self-care vertical</w:t>
      </w:r>
      <w:bookmarkEnd w:id="26"/>
    </w:p>
    <w:p>
      <w:pPr>
        <w:pStyle w:val="FirstParagraph"/>
      </w:pPr>
      <w:r>
        <w:rPr>
          <w:b/>
        </w:rPr>
        <w:t xml:space="preserve">Category:</w:t>
      </w:r>
      <w:r>
        <w:t xml:space="preserve"> </w:t>
      </w:r>
      <w:r>
        <w:t xml:space="preserve">Beauty and self-care services platform, UK / Albania</w:t>
      </w:r>
      <w:r>
        <w:t xml:space="preserve"> </w:t>
      </w:r>
      <w:r>
        <w:rPr>
          <w:b/>
        </w:rPr>
        <w:t xml:space="preserve">Engagement length:</w:t>
      </w:r>
      <w:r>
        <w:t xml:space="preserve"> </w:t>
      </w:r>
      <w:r>
        <w:t xml:space="preserve">Live customer, joined Q2 2026</w:t>
      </w:r>
      <w:r>
        <w:t xml:space="preserve"> </w:t>
      </w:r>
      <w:r>
        <w:rPr>
          <w:b/>
        </w:rPr>
        <w:t xml:space="preserve">Product tier:</w:t>
      </w:r>
      <w:r>
        <w:t xml:space="preserve"> </w:t>
      </w:r>
      <w:r>
        <w:t xml:space="preserve">Compete</w:t>
      </w:r>
    </w:p>
    <w:p>
      <w:pPr>
        <w:pStyle w:val="Heading3"/>
      </w:pPr>
      <w:bookmarkStart w:id="27" w:name="headline-outcome-1"/>
      <w:r>
        <w:t xml:space="preserve">Headline outcome</w:t>
      </w:r>
      <w:bookmarkEnd w:id="27"/>
    </w:p>
    <w:p>
      <w:pPr>
        <w:pStyle w:val="FirstParagraph"/>
      </w:pPr>
      <w:r>
        <w:t xml:space="preserve">Avatid is a multi-service beauty platform that joined écentic via network referral. They are an active paying customer using écentic for catalog optimisation across their service listings (which sit at a different intersection of</w:t>
      </w:r>
      <w:r>
        <w:t xml:space="preserve"> </w:t>
      </w:r>
      <w:r>
        <w:t xml:space="preserve">“</w:t>
      </w:r>
      <w:r>
        <w:t xml:space="preserve">product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 </w:t>
      </w:r>
      <w:r>
        <w:t xml:space="preserve">than typical DTC).</w:t>
      </w:r>
    </w:p>
    <w:p>
      <w:pPr>
        <w:pStyle w:val="Heading3"/>
      </w:pPr>
      <w:bookmarkStart w:id="28" w:name="supporting-metrics-1"/>
      <w:r>
        <w:t xml:space="preserve">Supporting metrics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Live paying customer</w:t>
      </w:r>
    </w:p>
    <w:p>
      <w:pPr>
        <w:numPr>
          <w:ilvl w:val="0"/>
          <w:numId w:val="1002"/>
        </w:numPr>
        <w:pStyle w:val="Compact"/>
      </w:pPr>
      <w:r>
        <w:t xml:space="preserve">Active scan and optimisation cycles</w:t>
      </w:r>
    </w:p>
    <w:p>
      <w:pPr>
        <w:numPr>
          <w:ilvl w:val="0"/>
          <w:numId w:val="1002"/>
        </w:numPr>
        <w:pStyle w:val="Compact"/>
      </w:pPr>
      <w:r>
        <w:t xml:space="preserve">Categorical coverage extended to</w:t>
      </w:r>
      <w:r>
        <w:t xml:space="preserve"> </w:t>
      </w:r>
      <w:r>
        <w:t xml:space="preserve">“</w:t>
      </w:r>
      <w:r>
        <w:t xml:space="preserve">service listings</w:t>
      </w:r>
      <w:r>
        <w:t xml:space="preserve">”</w:t>
      </w:r>
      <w:r>
        <w:t xml:space="preserve"> </w:t>
      </w:r>
      <w:r>
        <w:t xml:space="preserve">— a small but useful proof that the product surface works beyond pure-product catalogues</w:t>
      </w:r>
    </w:p>
    <w:p>
      <w:pPr>
        <w:pStyle w:val="Heading3"/>
      </w:pPr>
      <w:bookmarkStart w:id="29" w:name="quote-1"/>
      <w:r>
        <w:t xml:space="preserve">Quote</w:t>
      </w:r>
      <w:bookmarkEnd w:id="29"/>
    </w:p>
    <w:p>
      <w:pPr>
        <w:pStyle w:val="FirstParagraph"/>
      </w:pPr>
      <w:r>
        <w:t xml:space="preserve">Written quote pending interview (logged in</w:t>
      </w:r>
      <w:r>
        <w:t xml:space="preserve"> </w:t>
      </w:r>
      <w:r>
        <w:rPr>
          <w:rStyle w:val="VerbatimChar"/>
        </w:rPr>
        <w:t xml:space="preserve">testimonials.md</w:t>
      </w:r>
      <w:r>
        <w:t xml:space="preserve">).</w:t>
      </w:r>
    </w:p>
    <w:p>
      <w:pPr>
        <w:pStyle w:val="Heading3"/>
      </w:pPr>
      <w:bookmarkStart w:id="30" w:name="why-this-matters-1"/>
      <w:r>
        <w:t xml:space="preserve">Why this matters</w:t>
      </w:r>
      <w:bookmarkEnd w:id="30"/>
    </w:p>
    <w:p>
      <w:pPr>
        <w:pStyle w:val="FirstParagraph"/>
      </w:pPr>
      <w:r>
        <w:t xml:space="preserve">Avatid validates that écentic’s simulation engine and optimisation surface generalise beyond pure-product DTC. Categorically adjacent merchants (services, hybrid services + products, marketplaces with service inventory) are a Year-2 expansion vector that the Avatid engagement gives us early signal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9fe2a717f8820f22632998d78ddd40f5134e2d"/>
      <w:r>
        <w:t xml:space="preserve">In-progress success stories (in active pilot scoping)</w:t>
      </w:r>
      <w:bookmarkEnd w:id="31"/>
    </w:p>
    <w:p>
      <w:pPr>
        <w:pStyle w:val="FirstParagraph"/>
      </w:pPr>
      <w:r>
        <w:t xml:space="preserve">These are not yet success stories. They are conversations where a successful outcome is plausible within the Year-1 horizon. Included here for diligence completeness — none should be used in external marketing without explicit per-conversation approval.</w:t>
      </w:r>
    </w:p>
    <w:p>
      <w:pPr>
        <w:pStyle w:val="Heading3"/>
      </w:pPr>
      <w:bookmarkStart w:id="32" w:name="carrefour-enterprise-pilot-scoping"/>
      <w:r>
        <w:t xml:space="preserve">Carrefour (enterprise pilot scoping)</w:t>
      </w:r>
      <w:bookmarkEnd w:id="32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Pilot scoping, sourced through Plug and Play Tirana corporate ventures channel.</w:t>
      </w:r>
      <w:r>
        <w:t xml:space="preserve"> </w:t>
      </w:r>
      <w:r>
        <w:rPr>
          <w:b/>
        </w:rPr>
        <w:t xml:space="preserve">Wedge:</w:t>
      </w:r>
      <w:r>
        <w:t xml:space="preserve"> </w:t>
      </w:r>
      <w:r>
        <w:t xml:space="preserve">Visa Trusted Agent Protocol (Carrefour is a Visa TAP launch partner) — écentic positions as the observability and optimisation layer for Carrefour’s TAP-enabled catalogue.</w:t>
      </w:r>
      <w:r>
        <w:t xml:space="preserve"> </w:t>
      </w:r>
      <w:r>
        <w:rPr>
          <w:b/>
        </w:rPr>
        <w:t xml:space="preserve">Expected outcome:</w:t>
      </w:r>
      <w:r>
        <w:t xml:space="preserve"> </w:t>
      </w:r>
      <w:r>
        <w:t xml:space="preserve">A 12-week pilot with a defined KPI (target: win-rate lift on top 200 SKUs by 8+ percentage points), converting to an annual contract on successful delivery.</w:t>
      </w:r>
    </w:p>
    <w:p>
      <w:pPr>
        <w:pStyle w:val="Heading3"/>
      </w:pPr>
      <w:bookmarkStart w:id="33" w:name="ebay-early-discovery"/>
      <w:r>
        <w:t xml:space="preserve">eBay (early discovery)</w:t>
      </w:r>
      <w:bookmarkEnd w:id="33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Initial introductions made through Plug and Play network.</w:t>
      </w:r>
      <w:r>
        <w:t xml:space="preserve"> </w:t>
      </w:r>
      <w:r>
        <w:rPr>
          <w:b/>
        </w:rPr>
        <w:t xml:space="preserve">Wedge:</w:t>
      </w:r>
      <w:r>
        <w:t xml:space="preserve"> </w:t>
      </w:r>
      <w:r>
        <w:t xml:space="preserve">Marketplace inventory optimisation — eBay’s challenge is the structured-data quality of millions of seller listings. écentic’s simulation engine extends to evaluating cohort-level listing quality.</w:t>
      </w:r>
    </w:p>
    <w:p>
      <w:pPr>
        <w:pStyle w:val="Heading3"/>
      </w:pPr>
      <w:bookmarkStart w:id="34" w:name="inditex-zara-early-discovery"/>
      <w:r>
        <w:t xml:space="preserve">Inditex / Zara (early discovery)</w:t>
      </w:r>
      <w:bookmarkEnd w:id="34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Initial introductions made through Plug and Play network.</w:t>
      </w:r>
      <w:r>
        <w:t xml:space="preserve"> </w:t>
      </w:r>
      <w:r>
        <w:rPr>
          <w:b/>
        </w:rPr>
        <w:t xml:space="preserve">Wedge:</w:t>
      </w:r>
      <w:r>
        <w:t xml:space="preserve"> </w:t>
      </w:r>
      <w:r>
        <w:t xml:space="preserve">Fast-fashion catalog with rapid product turnover — écentic’s auto-publishing loop is particularly valuable for catalogues that refresh constantly.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how-we-generate-new-success-stories"/>
      <w:r>
        <w:t xml:space="preserve">How we generate new success stories</w:t>
      </w:r>
      <w:bookmarkEnd w:id="35"/>
    </w:p>
    <w:p>
      <w:pPr>
        <w:pStyle w:val="FirstParagraph"/>
      </w:pPr>
      <w:r>
        <w:t xml:space="preserve">For every new paying merchant who hits the 30-day activation milestone: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CS interview request</w:t>
      </w:r>
      <w:r>
        <w:t xml:space="preserve"> </w:t>
      </w:r>
      <w:r>
        <w:t xml:space="preserve">within 7 days of activation (Iseld or the Customer Success hire, once onboarded)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Three standard questions:</w:t>
      </w:r>
    </w:p>
    <w:p>
      <w:pPr>
        <w:numPr>
          <w:ilvl w:val="1"/>
          <w:numId w:val="1004"/>
        </w:numPr>
        <w:pStyle w:val="Compact"/>
      </w:pPr>
      <w:r>
        <w:t xml:space="preserve">What were you doing about AI shopping before écentic?</w:t>
      </w:r>
    </w:p>
    <w:p>
      <w:pPr>
        <w:numPr>
          <w:ilvl w:val="1"/>
          <w:numId w:val="1004"/>
        </w:numPr>
        <w:pStyle w:val="Compact"/>
      </w:pPr>
      <w:r>
        <w:t xml:space="preserve">What changed since you started using écentic?</w:t>
      </w:r>
    </w:p>
    <w:p>
      <w:pPr>
        <w:numPr>
          <w:ilvl w:val="1"/>
          <w:numId w:val="1004"/>
        </w:numPr>
        <w:pStyle w:val="Compact"/>
      </w:pPr>
      <w:r>
        <w:t xml:space="preserve">Is there one moment or metric that captures the impact?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Quote drafted</w:t>
      </w:r>
      <w:r>
        <w:t xml:space="preserve"> </w:t>
      </w:r>
      <w:r>
        <w:t xml:space="preserve">and sent back to the customer for written approval before publication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Outcome metrics pulled</w:t>
      </w:r>
      <w:r>
        <w:t xml:space="preserve"> </w:t>
      </w:r>
      <w:r>
        <w:t xml:space="preserve">from the écentic dashboard with the customer’s permission</w:t>
      </w:r>
    </w:p>
    <w:p>
      <w:pPr>
        <w:pStyle w:val="FirstParagraph"/>
      </w:pPr>
      <w:r>
        <w:t xml:space="preserve">Target: 1 new success story published per month from M6 onwards. Each goes into this document, the press kit, and the marketing rotation.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ermissions-audit-trail"/>
      <w:r>
        <w:t xml:space="preserve">Permissions &amp; audit trail</w:t>
      </w:r>
      <w:bookmarkEnd w:id="36"/>
    </w:p>
    <w:p>
      <w:pPr>
        <w:pStyle w:val="FirstParagraph"/>
      </w:pPr>
      <w:r>
        <w:t xml:space="preserve">All customer success stories used in public marketing carry written customer approval on file. Verbal-only approvals are flagged in this document and trigger a follow-up workflow until written confirmation is received. Permissions log is maintained alongside this document and updated on each material change.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2026-06-11T12:37:16Z</dcterms:created>
  <dcterms:modified xsi:type="dcterms:W3CDTF">2026-06-11T12:37:16Z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