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footer.xml" ContentType="application/vnd.openxmlformats-officedocument.wordprocessingml.footer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usage-engagement-metrics"/>
      <w:r>
        <w:t xml:space="preserve">écentic — Usage &amp; Engagement Metrics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  <w:r>
        <w:t xml:space="preserve"> </w:t>
      </w:r>
      <w:r>
        <w:rPr>
          <w:b/>
        </w:rPr>
        <w:t xml:space="preserve">Refresh cadence:</w:t>
      </w:r>
      <w:r>
        <w:t xml:space="preserve"> </w:t>
      </w:r>
      <w:r>
        <w:t xml:space="preserve">Monthly (this snapshot) · Live in-product dashboards updated daily</w:t>
      </w:r>
    </w:p>
    <w:p>
      <w:pPr>
        <w:pStyle w:val="BodyText"/>
      </w:pPr>
      <w:r>
        <w:t xml:space="preserve">This document captures how customers actually use écentic in production — the depth and rhythm of engagement that translates a paid subscription into a retained customer.</w:t>
      </w:r>
    </w:p>
    <w:p>
      <w:pPr>
        <w:pStyle w:val="BodyText"/>
      </w:pPr>
      <w:r>
        <w:t xml:space="preserve">For acquisition and revenue-side metrics, see</w:t>
      </w:r>
      <w:r>
        <w:t xml:space="preserve"> </w:t>
      </w:r>
      <w:r>
        <w:rPr>
          <w:rStyle w:val="VerbatimChar"/>
        </w:rPr>
        <w:t xml:space="preserve">dataroom/2_traction_financials/2.1_customers/customer-kpis.md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eadline-product-usage-as-of-2-june-2026"/>
      <w:r>
        <w:t xml:space="preserve">Headline product usage (as of 2 June 2026)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simulations run (cumulative, all customers)</w:t>
            </w:r>
          </w:p>
        </w:tc>
        <w:tc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p>
            <w:pPr>
              <w:pStyle w:val="Compact"/>
              <w:jc w:val="left"/>
            </w:pPr>
            <w:r>
              <w:t xml:space="preserve">Across the four major AI 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Distinct merchant catalogues scanned</w:t>
            </w:r>
          </w:p>
        </w:tc>
        <w:tc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p>
            <w:pPr>
              <w:pStyle w:val="Compact"/>
              <w:jc w:val="left"/>
            </w:pPr>
            <w:r>
              <w:t xml:space="preserve">Includes free-scan-only catalogues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models integrated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GPT-4, Claude, Gemini, Perplexity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integrations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Shopify, WooCommerce, structured-data 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UCP profiles auto-generated</w:t>
            </w:r>
          </w:p>
        </w:tc>
        <w:tc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p>
            <w:pPr>
              <w:pStyle w:val="Compact"/>
              <w:jc w:val="left"/>
            </w:pPr>
            <w:r>
              <w:t xml:space="preserve">One per paying customer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Optimisations published back to merchant stores</w:t>
            </w:r>
          </w:p>
        </w:tc>
        <w:tc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p>
            <w:pPr>
              <w:pStyle w:val="Compact"/>
              <w:jc w:val="left"/>
            </w:pPr>
            <w:r>
              <w:t xml:space="preserve">Across the Dua + Avatid cohorts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 time to first scan from install</w:t>
            </w:r>
          </w:p>
        </w:tc>
        <w:tc>
          <w:p>
            <w:pPr>
              <w:pStyle w:val="Compact"/>
              <w:jc w:val="left"/>
            </w:pPr>
            <w:r>
              <w:t xml:space="preserve">&lt; 10 minutes</w:t>
            </w:r>
          </w:p>
        </w:tc>
        <w:tc>
          <w:p>
            <w:pPr>
              <w:pStyle w:val="Compact"/>
              <w:jc w:val="left"/>
            </w:pPr>
            <w:r>
              <w:t xml:space="preserve">Observed across the current cohort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70b724f6160633d2413f5292a10b4403560de69"/>
      <w:r>
        <w:t xml:space="preserve">Engagement signals we track per paying customer</w:t>
      </w:r>
      <w:bookmarkEnd w:id="22"/>
    </w:p>
    <w:p>
      <w:pPr>
        <w:pStyle w:val="FirstParagraph"/>
      </w:pPr>
      <w:r>
        <w:t xml:space="preserve">These are the engagement signals we collect per customer in the product analytics layer (PostHog) and the application database. Each signal feeds the activation and retention models.</w:t>
      </w:r>
    </w:p>
    <w:p>
      <w:pPr>
        <w:pStyle w:val="Heading3"/>
      </w:pPr>
      <w:bookmarkStart w:id="23" w:name="activation-first-30-days"/>
      <w:r>
        <w:t xml:space="preserve">Activation (first 30 days)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Logins in first 14 days</w:t>
            </w:r>
          </w:p>
        </w:tc>
        <w:tc>
          <w:p>
            <w:pPr>
              <w:pStyle w:val="Compact"/>
              <w:jc w:val="left"/>
            </w:pPr>
            <w:r>
              <w:t xml:space="preserve">≥ 5</w:t>
            </w:r>
          </w:p>
        </w:tc>
        <w:tc>
          <w:p>
            <w:pPr>
              <w:pStyle w:val="Compact"/>
              <w:jc w:val="left"/>
            </w:pPr>
            <w:r>
              <w:t xml:space="preserve">Reliable predictor of 90-day retention. Customers below this threshold churn at ~12%/month; above it, &lt; 2%/month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to first scan completion</w:t>
            </w:r>
          </w:p>
        </w:tc>
        <w:tc>
          <w:p>
            <w:pPr>
              <w:pStyle w:val="Compact"/>
              <w:jc w:val="left"/>
            </w:pPr>
            <w:r>
              <w:t xml:space="preserve">&lt; 10 minutes from install</w:t>
            </w:r>
          </w:p>
        </w:tc>
        <w:tc>
          <w:p>
            <w:pPr>
              <w:pStyle w:val="Compact"/>
              <w:jc w:val="left"/>
            </w:pPr>
            <w:r>
              <w:t xml:space="preserve">Validates the onboarding experience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to first optimisation published</w:t>
            </w:r>
          </w:p>
        </w:tc>
        <w:tc>
          <w:p>
            <w:pPr>
              <w:pStyle w:val="Compact"/>
              <w:jc w:val="left"/>
            </w:pPr>
            <w:r>
              <w:t xml:space="preserve">&lt; 7 days from install</w:t>
            </w:r>
          </w:p>
        </w:tc>
        <w:tc>
          <w:p>
            <w:pPr>
              <w:pStyle w:val="Compact"/>
              <w:jc w:val="left"/>
            </w:pPr>
            <w:r>
              <w:t xml:space="preserve">Validates that the customer experienced the auto-publish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Competitors added beyond auto-detected 3</w:t>
            </w:r>
          </w:p>
        </w:tc>
        <w:tc>
          <w:p>
            <w:pPr>
              <w:pStyle w:val="Compact"/>
              <w:jc w:val="left"/>
            </w:pPr>
            <w:r>
              <w:t xml:space="preserve">≥ 2</w:t>
            </w:r>
          </w:p>
        </w:tc>
        <w:tc>
          <w:p>
            <w:pPr>
              <w:pStyle w:val="Compact"/>
              <w:jc w:val="left"/>
            </w:pPr>
            <w:r>
              <w:t xml:space="preserve">Signals the customer is investing in the tool, not just running a single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Simulations run</w:t>
            </w:r>
          </w:p>
        </w:tc>
        <w:tc>
          <w:p>
            <w:pPr>
              <w:pStyle w:val="Compact"/>
              <w:jc w:val="left"/>
            </w:pPr>
            <w:r>
              <w:t xml:space="preserve">≥ 25 in first month</w:t>
            </w:r>
          </w:p>
        </w:tc>
        <w:tc>
          <w:p>
            <w:pPr>
              <w:pStyle w:val="Compact"/>
              <w:jc w:val="left"/>
            </w:pPr>
            <w:r>
              <w:t xml:space="preserve">Validates regular use, not one-time install</w:t>
            </w:r>
          </w:p>
        </w:tc>
      </w:tr>
    </w:tbl>
    <w:p>
      <w:pPr>
        <w:pStyle w:val="Heading3"/>
      </w:pPr>
      <w:bookmarkStart w:id="24" w:name="steady-state-engagement-post-30-days"/>
      <w:r>
        <w:t xml:space="preserve">Steady-state engagement (post-30 days)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Simulations per active month</w:t>
            </w:r>
          </w:p>
        </w:tc>
        <w:tc>
          <w:p>
            <w:pPr>
              <w:pStyle w:val="Compact"/>
              <w:jc w:val="left"/>
            </w:pPr>
            <w:r>
              <w:t xml:space="preserve">Connect: 25, Compete: 250, Dominate: 1,000+</w:t>
            </w:r>
          </w:p>
        </w:tc>
        <w:tc>
          <w:p>
            <w:pPr>
              <w:pStyle w:val="Compact"/>
              <w:jc w:val="left"/>
            </w:pPr>
            <w:r>
              <w:t xml:space="preserve">Tier-appropriate use of the entitlement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Optimisations published per month</w:t>
            </w:r>
          </w:p>
        </w:tc>
        <w:tc>
          <w:p>
            <w:pPr>
              <w:pStyle w:val="Compact"/>
              <w:jc w:val="left"/>
            </w:pPr>
            <w:r>
              <w:t xml:space="preserve">≥ 3</w:t>
            </w:r>
          </w:p>
        </w:tc>
        <w:tc>
          <w:p>
            <w:pPr>
              <w:pStyle w:val="Compact"/>
              <w:jc w:val="left"/>
            </w:pPr>
            <w:r>
              <w:t xml:space="preserve">Maintained engagement with the closed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logins per week</w:t>
            </w:r>
          </w:p>
        </w:tc>
        <w:tc>
          <w:p>
            <w:pPr>
              <w:pStyle w:val="Compact"/>
              <w:jc w:val="left"/>
            </w:pPr>
            <w:r>
              <w:t xml:space="preserve">≥ 2</w:t>
            </w:r>
          </w:p>
        </w:tc>
        <w:tc>
          <w:p>
            <w:pPr>
              <w:pStyle w:val="Compact"/>
              <w:jc w:val="left"/>
            </w:pPr>
            <w:r>
              <w:t xml:space="preserve">Customer is checking results, integrating into operating cadence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Replay views per month</w:t>
            </w:r>
          </w:p>
        </w:tc>
        <w:tc>
          <w:p>
            <w:pPr>
              <w:pStyle w:val="Compact"/>
              <w:jc w:val="left"/>
            </w:pPr>
            <w:r>
              <w:t xml:space="preserve">≥ 5 (Compete +)</w:t>
            </w:r>
          </w:p>
        </w:tc>
        <w:tc>
          <w:p>
            <w:pPr>
              <w:pStyle w:val="Compact"/>
              <w:jc w:val="left"/>
            </w:pPr>
            <w:r>
              <w:t xml:space="preserve">Customer engages with the</w:t>
            </w:r>
            <w:r>
              <w:t xml:space="preserve"> </w:t>
            </w:r>
            <w:r>
              <w:t xml:space="preserve">“</w:t>
            </w:r>
            <w:r>
              <w:t xml:space="preserve">why we lost</w:t>
            </w:r>
            <w:r>
              <w:t xml:space="preserve">”</w:t>
            </w:r>
            <w:r>
              <w:t xml:space="preserve"> </w:t>
            </w:r>
            <w:r>
              <w:t xml:space="preserve">diagnosis depth, not just the headline win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Model-drift alerts acknowledged</w:t>
            </w:r>
          </w:p>
        </w:tc>
        <w:tc>
          <w:p>
            <w:pPr>
              <w:pStyle w:val="Compact"/>
              <w:jc w:val="left"/>
            </w:pPr>
            <w:r>
              <w:t xml:space="preserve">100% within 7 days</w:t>
            </w:r>
          </w:p>
        </w:tc>
        <w:tc>
          <w:p>
            <w:pPr>
              <w:pStyle w:val="Compact"/>
              <w:jc w:val="left"/>
            </w:pPr>
            <w:r>
              <w:t xml:space="preserve">Customer is responsive to platform notifications</w:t>
            </w:r>
          </w:p>
        </w:tc>
      </w:tr>
    </w:tbl>
    <w:p>
      <w:pPr>
        <w:pStyle w:val="Heading3"/>
      </w:pPr>
      <w:bookmarkStart w:id="25" w:name="expansion-signals"/>
      <w:r>
        <w:t xml:space="preserve">Expansion signals</w:t>
      </w:r>
      <w:bookmarkEnd w:id="25"/>
    </w:p>
    <w:p>
      <w:pPr>
        <w:pStyle w:val="FirstParagraph"/>
      </w:pPr>
      <w:r>
        <w:t xml:space="preserve">These predict upgrades and audit revenue: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Triggered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 customer connects &gt; 3 competitors</w:t>
            </w:r>
          </w:p>
        </w:tc>
        <w:tc>
          <w:p>
            <w:pPr>
              <w:pStyle w:val="Compact"/>
              <w:jc w:val="left"/>
            </w:pPr>
            <w:r>
              <w:t xml:space="preserve">In-app upsell to Compete (10-competitor tier)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Compete customer hits simulation cap 2 months running</w:t>
            </w:r>
          </w:p>
        </w:tc>
        <w:tc>
          <w:p>
            <w:pPr>
              <w:pStyle w:val="Compact"/>
              <w:jc w:val="left"/>
            </w:pPr>
            <w:r>
              <w:t xml:space="preserve">In-app upsell to Dominate (unlimited)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requests Agent Replay (Connect-locked)</w:t>
            </w:r>
          </w:p>
        </w:tc>
        <w:tc>
          <w:p>
            <w:pPr>
              <w:pStyle w:val="Compact"/>
              <w:jc w:val="left"/>
            </w:pPr>
            <w:r>
              <w:t xml:space="preserve">Direct outreach offering Compete trial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requests API access</w:t>
            </w:r>
          </w:p>
        </w:tc>
        <w:tc>
          <w:p>
            <w:pPr>
              <w:pStyle w:val="Compact"/>
              <w:jc w:val="left"/>
            </w:pPr>
            <w:r>
              <w:t xml:space="preserve">Direct outreach to Dominate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asks</w:t>
            </w:r>
            <w:r>
              <w:t xml:space="preserve"> </w:t>
            </w:r>
            <w:r>
              <w:t xml:space="preserve">“</w:t>
            </w:r>
            <w:r>
              <w:t xml:space="preserve">can you audit our full catalogue?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Sell a one-time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prepares for Q4 / Black Friday</w:t>
            </w:r>
          </w:p>
        </w:tc>
        <w:tc>
          <w:p>
            <w:pPr>
              <w:pStyle w:val="Compact"/>
              <w:jc w:val="left"/>
            </w:pPr>
            <w:r>
              <w:t xml:space="preserve">Pre-event audit upsell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er-merchant-outcome-metrics"/>
      <w:r>
        <w:t xml:space="preserve">Per-merchant outcome metrics</w:t>
      </w:r>
      <w:bookmarkEnd w:id="26"/>
    </w:p>
    <w:p>
      <w:pPr>
        <w:pStyle w:val="FirstParagraph"/>
      </w:pPr>
      <w:r>
        <w:t xml:space="preserve">These are the metrics we surface to each customer in their dashboard and use to demonstrate ROI:</w:t>
      </w:r>
    </w:p>
    <w:p>
      <w:pPr>
        <w:pStyle w:val="Heading3"/>
      </w:pPr>
      <w:bookmarkStart w:id="27" w:name="agent-win-rate"/>
      <w:r>
        <w:t xml:space="preserve">Agent win-rate</w:t>
      </w:r>
      <w:bookmarkEnd w:id="27"/>
    </w:p>
    <w:p>
      <w:pPr>
        <w:numPr>
          <w:ilvl w:val="0"/>
          <w:numId w:val="1001"/>
        </w:numPr>
        <w:pStyle w:val="Compact"/>
      </w:pPr>
      <w:r>
        <w:t xml:space="preserve">Per AI model (GPT-4, Claude, Gemini, Perplexity)</w:t>
      </w:r>
    </w:p>
    <w:p>
      <w:pPr>
        <w:numPr>
          <w:ilvl w:val="0"/>
          <w:numId w:val="1001"/>
        </w:numPr>
        <w:pStyle w:val="Compact"/>
      </w:pPr>
      <w:r>
        <w:t xml:space="preserve">Per SKU</w:t>
      </w:r>
    </w:p>
    <w:p>
      <w:pPr>
        <w:numPr>
          <w:ilvl w:val="0"/>
          <w:numId w:val="1001"/>
        </w:numPr>
        <w:pStyle w:val="Compact"/>
      </w:pPr>
      <w:r>
        <w:t xml:space="preserve">Per competitor matchup</w:t>
      </w:r>
    </w:p>
    <w:p>
      <w:pPr>
        <w:numPr>
          <w:ilvl w:val="0"/>
          <w:numId w:val="1001"/>
        </w:numPr>
        <w:pStyle w:val="Compact"/>
      </w:pPr>
      <w:r>
        <w:t xml:space="preserve">Trended over 30, 60, 90 days</w:t>
      </w:r>
    </w:p>
    <w:p>
      <w:pPr>
        <w:pStyle w:val="Heading3"/>
      </w:pPr>
      <w:bookmarkStart w:id="28" w:name="agent-visibility-lift"/>
      <w:r>
        <w:t xml:space="preserve">Agent visibility lift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Composite score showing how often the merchant appears in agent responses to category-relevant queries</w:t>
      </w:r>
    </w:p>
    <w:p>
      <w:pPr>
        <w:numPr>
          <w:ilvl w:val="0"/>
          <w:numId w:val="1002"/>
        </w:numPr>
        <w:pStyle w:val="Compact"/>
      </w:pPr>
      <w:r>
        <w:t xml:space="preserve">Trended over time</w:t>
      </w:r>
    </w:p>
    <w:p>
      <w:pPr>
        <w:pStyle w:val="Heading3"/>
      </w:pPr>
      <w:bookmarkStart w:id="29" w:name="optimisation-impact"/>
      <w:r>
        <w:t xml:space="preserve">Optimisation impact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Before / After win-rate delta on each published optimisation</w:t>
      </w:r>
    </w:p>
    <w:p>
      <w:pPr>
        <w:numPr>
          <w:ilvl w:val="0"/>
          <w:numId w:val="1003"/>
        </w:numPr>
        <w:pStyle w:val="Compact"/>
      </w:pPr>
      <w:r>
        <w:t xml:space="preserve">Estimated revenue impact (where store revenue data is connected)</w:t>
      </w:r>
    </w:p>
    <w:p>
      <w:pPr>
        <w:pStyle w:val="Heading3"/>
      </w:pPr>
      <w:bookmarkStart w:id="30" w:name="agent-traffic-detection"/>
      <w:r>
        <w:t xml:space="preserve">Agent traffic detection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Daily visits by agent type (ChatGPT-User, Claude-User, GPTBot, Perplexity, Gemini, Google-Extended, twenty others)</w:t>
      </w:r>
    </w:p>
    <w:p>
      <w:pPr>
        <w:numPr>
          <w:ilvl w:val="0"/>
          <w:numId w:val="1004"/>
        </w:numPr>
        <w:pStyle w:val="Compact"/>
      </w:pPr>
      <w:r>
        <w:t xml:space="preserve">Trended over 30 days</w:t>
      </w:r>
    </w:p>
    <w:p>
      <w:pPr>
        <w:numPr>
          <w:ilvl w:val="0"/>
          <w:numId w:val="1004"/>
        </w:numPr>
        <w:pStyle w:val="Compact"/>
      </w:pPr>
      <w:r>
        <w:t xml:space="preserve">Compared against Google Analytics traffic for the same window</w:t>
      </w:r>
    </w:p>
    <w:p>
      <w:pPr>
        <w:pStyle w:val="Heading3"/>
      </w:pPr>
      <w:bookmarkStart w:id="31" w:name="model-drift-events"/>
      <w:r>
        <w:t xml:space="preserve">Model-drift events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Count of model updates detected per quarter</w:t>
      </w:r>
    </w:p>
    <w:p>
      <w:pPr>
        <w:numPr>
          <w:ilvl w:val="0"/>
          <w:numId w:val="1005"/>
        </w:numPr>
        <w:pStyle w:val="Compact"/>
      </w:pPr>
      <w:r>
        <w:t xml:space="preserve">Win-rate impact per event</w:t>
      </w:r>
    </w:p>
    <w:p>
      <w:pPr>
        <w:numPr>
          <w:ilvl w:val="0"/>
          <w:numId w:val="1005"/>
        </w:numPr>
        <w:pStyle w:val="Compact"/>
      </w:pPr>
      <w:r>
        <w:t xml:space="preserve">Auto-re-optimisation triggered count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9c86895652641595f766a2e94ead86047d13f48"/>
      <w:r>
        <w:t xml:space="preserve">Aggregate (cross-customer) metrics we track internally</w:t>
      </w:r>
      <w:bookmarkEnd w:id="32"/>
    </w:p>
    <w:p>
      <w:pPr>
        <w:pStyle w:val="FirstParagraph"/>
      </w:pPr>
      <w:r>
        <w:t xml:space="preserve">These are not visible to individual customers but are reported in the monthly investor update and reviewed weekly by the founders: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we track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 win-rate lift per customer after first optimisation</w:t>
            </w:r>
          </w:p>
        </w:tc>
        <w:tc>
          <w:p>
            <w:pPr>
              <w:pStyle w:val="Compact"/>
              <w:jc w:val="left"/>
            </w:pPr>
            <w:r>
              <w:t xml:space="preserve">Validates product value at the customer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 time from install to activated state (Day 30 criteria met)</w:t>
            </w:r>
          </w:p>
        </w:tc>
        <w:tc>
          <w:p>
            <w:pPr>
              <w:pStyle w:val="Compact"/>
              <w:jc w:val="left"/>
            </w:pPr>
            <w:r>
              <w:t xml:space="preserve">Validates onboarding efficiency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 of simulations per customer (P50, P90)</w:t>
            </w:r>
          </w:p>
        </w:tc>
        <w:tc>
          <w:p>
            <w:pPr>
              <w:pStyle w:val="Compact"/>
              <w:jc w:val="left"/>
            </w:pPr>
            <w:r>
              <w:t xml:space="preserve">Identifies which customers are at risk of churn (low engagement) and which are upgrade candidates (high engagement)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Most common optimisation patterns shipped</w:t>
            </w:r>
          </w:p>
        </w:tc>
        <w:tc>
          <w:p>
            <w:pPr>
              <w:pStyle w:val="Compact"/>
              <w:jc w:val="left"/>
            </w:pPr>
            <w:r>
              <w:t xml:space="preserve">Drives content engine and case studies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Most-cited reason an agent picked a competitor</w:t>
            </w:r>
          </w:p>
        </w:tc>
        <w:tc>
          <w:p>
            <w:pPr>
              <w:pStyle w:val="Compact"/>
              <w:jc w:val="left"/>
            </w:pPr>
            <w:r>
              <w:t xml:space="preserve">Feeds the product roadmap (which gaps to invest in closing first)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45f410a97fc8191c932555f960a7f406f6fdfad"/>
      <w:r>
        <w:t xml:space="preserve">Engagement-driven product decisions made in the last 6 months</w:t>
      </w:r>
      <w:bookmarkEnd w:id="33"/>
    </w:p>
    <w:p>
      <w:pPr>
        <w:pStyle w:val="FirstParagraph"/>
      </w:pPr>
      <w:r>
        <w:t xml:space="preserve">Examples of how usage data has shaped product priorities. Tracked here so investors and partners can see that the data feedback loop is real: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Engagement signal observed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decision made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 added &gt; 3 competitors within 30 days more often than predicted</w:t>
            </w:r>
          </w:p>
        </w:tc>
        <w:tc>
          <w:p>
            <w:pPr>
              <w:pStyle w:val="Compact"/>
              <w:jc w:val="left"/>
            </w:pPr>
            <w:r>
              <w:t xml:space="preserve">Pulled</w:t>
            </w:r>
            <w:r>
              <w:t xml:space="preserve"> </w:t>
            </w:r>
            <w:r>
              <w:t xml:space="preserve">“</w:t>
            </w:r>
            <w:r>
              <w:t xml:space="preserve">10 competitors</w:t>
            </w:r>
            <w:r>
              <w:t xml:space="preserve">”</w:t>
            </w:r>
            <w:r>
              <w:t xml:space="preserve"> </w:t>
            </w:r>
            <w:r>
              <w:t xml:space="preserve">tier (Compete) feature forward; replaced</w:t>
            </w:r>
            <w:r>
              <w:t xml:space="preserve"> </w:t>
            </w:r>
            <w:r>
              <w:t xml:space="preserve">“</w:t>
            </w:r>
            <w:r>
              <w:t xml:space="preserve">5 competitors</w:t>
            </w:r>
            <w:r>
              <w:t xml:space="preserve">”</w:t>
            </w:r>
            <w:r>
              <w:t xml:space="preserve"> </w:t>
            </w:r>
            <w:r>
              <w:t xml:space="preserve">tier in pricing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 requested Agent Replay before any other feature</w:t>
            </w:r>
          </w:p>
        </w:tc>
        <w:tc>
          <w:p>
            <w:pPr>
              <w:pStyle w:val="Compact"/>
              <w:jc w:val="left"/>
            </w:pPr>
            <w:r>
              <w:t xml:space="preserve">Repositioned Agent Replay from a Compete-tier feature to a marketing centrepiece; restructured the Connect tier to show a preview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 asked</w:t>
            </w:r>
            <w:r>
              <w:t xml:space="preserve"> </w:t>
            </w:r>
            <w:r>
              <w:t xml:space="preserve">“</w:t>
            </w:r>
            <w:r>
              <w:t xml:space="preserve">what about Gemini 3.2?</w:t>
            </w:r>
            <w:r>
              <w:t xml:space="preserve">”</w:t>
            </w:r>
            <w:r>
              <w:t xml:space="preserve"> </w:t>
            </w:r>
            <w:r>
              <w:t xml:space="preserve">within hours of release</w:t>
            </w:r>
          </w:p>
        </w:tc>
        <w:tc>
          <w:p>
            <w:pPr>
              <w:pStyle w:val="Compact"/>
              <w:jc w:val="left"/>
            </w:pPr>
            <w:r>
              <w:t xml:space="preserve">Built model-drift auto-detection; auto-re-simulation now ships within 24 hours of detected model version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 shared scan reports externally with their agency</w:t>
            </w:r>
          </w:p>
        </w:tc>
        <w:tc>
          <w:p>
            <w:pPr>
              <w:pStyle w:val="Compact"/>
              <w:jc w:val="left"/>
            </w:pPr>
            <w:r>
              <w:t xml:space="preserve">Built shareable scan reports as a first-class feature; serves as low-touch viral acquisition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 wanted to see</w:t>
            </w:r>
            <w:r>
              <w:t xml:space="preserve"> </w:t>
            </w:r>
            <w:r>
              <w:t xml:space="preserve">“</w:t>
            </w:r>
            <w:r>
              <w:t xml:space="preserve">where am I winning?</w:t>
            </w:r>
            <w:r>
              <w:t xml:space="preserve">”</w:t>
            </w:r>
            <w:r>
              <w:t xml:space="preserve"> </w:t>
            </w:r>
            <w:r>
              <w:t xml:space="preserve">not just</w:t>
            </w:r>
            <w:r>
              <w:t xml:space="preserve"> </w:t>
            </w:r>
            <w:r>
              <w:t xml:space="preserve">“</w:t>
            </w:r>
            <w:r>
              <w:t xml:space="preserve">where am I losing?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Added the win-rate trending view to the dashboard; previously only diagnostic was shown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data-infrastructure"/>
      <w:r>
        <w:t xml:space="preserve">Data infrastructure</w:t>
      </w:r>
      <w:bookmarkEnd w:id="34"/>
    </w:p>
    <w:p>
      <w:pPr>
        <w:pStyle w:val="FirstParagraph"/>
      </w:pPr>
      <w:r>
        <w:t xml:space="preserve">The metrics in this document are sourced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PostHog (EU region)</w:t>
      </w:r>
      <w:r>
        <w:t xml:space="preserve"> </w:t>
      </w:r>
      <w:r>
        <w:t xml:space="preserve">— front-end interaction events, session data, feature use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PostgreSQL database</w:t>
      </w:r>
      <w:r>
        <w:t xml:space="preserve"> </w:t>
      </w:r>
      <w:r>
        <w:t xml:space="preserve">— back-end state, simulation history, optimisation records, agent-traffic logs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Internal queries</w:t>
      </w:r>
      <w:r>
        <w:t xml:space="preserve"> </w:t>
      </w:r>
      <w:r>
        <w:t xml:space="preserve">— ad-hoc analysis run against PostgreSQL, mostly by Xhurian and Alvi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Shopify Billing + Stripe</w:t>
      </w:r>
      <w:r>
        <w:t xml:space="preserve"> </w:t>
      </w:r>
      <w:r>
        <w:t xml:space="preserve">— subscription state, billing events, plan changes</w:t>
      </w:r>
    </w:p>
    <w:p>
      <w:pPr>
        <w:pStyle w:val="BodyText"/>
      </w:pPr>
      <w:r>
        <w:t xml:space="preserve">All metrics are pulled by query in the current operational state. A dedicated internal KPI dashboard ships post-raise (Engineer #2 hire in M6 was previously responsible — under the lean plan, Alvi takes this on with the AI freelancer in Q1 2027).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e5452e7ea36c56108d06af4dc6f47fd6ccc9402"/>
      <w:r>
        <w:t xml:space="preserve">What we publish externally vs. internally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Publication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simulations run</w:t>
            </w:r>
          </w:p>
        </w:tc>
        <w:tc>
          <w:p>
            <w:pPr>
              <w:pStyle w:val="Compact"/>
              <w:jc w:val="left"/>
            </w:pPr>
            <w:r>
              <w:t xml:space="preserve">Public dashboard at ecentic.ai/index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 agent win-rate across all merchants</w:t>
            </w:r>
          </w:p>
        </w:tc>
        <w:tc>
          <w:p>
            <w:pPr>
              <w:pStyle w:val="Compact"/>
              <w:jc w:val="left"/>
            </w:pPr>
            <w:r>
              <w:t xml:space="preserve">Public dashboard + quarterly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Most common reason agents pick a competitor</w:t>
            </w:r>
          </w:p>
        </w:tc>
        <w:tc>
          <w:p>
            <w:pPr>
              <w:pStyle w:val="Compact"/>
              <w:jc w:val="left"/>
            </w:pPr>
            <w:r>
              <w:t xml:space="preserve">Public quarterly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 customer outcomes (with permission)</w:t>
            </w:r>
          </w:p>
        </w:tc>
        <w:tc>
          <w:p>
            <w:pPr>
              <w:pStyle w:val="Compact"/>
              <w:jc w:val="left"/>
            </w:pPr>
            <w:r>
              <w:t xml:space="preserve">Case studies + sales materials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 customer metrics</w:t>
            </w:r>
          </w:p>
        </w:tc>
        <w:tc>
          <w:p>
            <w:pPr>
              <w:pStyle w:val="Compact"/>
              <w:jc w:val="left"/>
            </w:pPr>
            <w:r>
              <w:t xml:space="preserve">Private — only visible to the customer in their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Aggregate retention and engagement metrics</w:t>
            </w:r>
          </w:p>
        </w:tc>
        <w:tc>
          <w:p>
            <w:pPr>
              <w:pStyle w:val="Compact"/>
              <w:jc w:val="left"/>
            </w:pPr>
            <w:r>
              <w:t xml:space="preserve">Investor updates only</w:t>
            </w:r>
          </w:p>
        </w:tc>
      </w:tr>
    </w:tbl>
    <w:sectPr/>
    <w:headerReference xmlns:r="http://schemas.openxmlformats.org/officeDocument/2006/relationships" w:type="default" r:id="rId9"/>
    <w:footerReference xmlns:r="http://schemas.openxmlformats.org/officeDocument/2006/relationships" w:type="default" r:id="rId1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31B7A38" w:rsidTr="531B7A38" w14:paraId="29A8EC8A">
      <w:trPr>
        <w:trHeight w:val="300"/>
      </w:trPr>
      <w:tc>
        <w:tcPr>
          <w:tcW w:w="3005" w:type="dxa"/>
          <w:tcMar/>
        </w:tcPr>
        <w:p w:rsidR="531B7A38" w:rsidP="531B7A38" w:rsidRDefault="531B7A38" w14:paraId="36E1DEAD" w14:textId="598CD99D">
          <w:pPr>
            <w:pStyle w:val="Header"/>
            <w:bidi w:val="0"/>
            <w:ind w:left="-115"/>
            <w:jc w:val="left"/>
          </w:pPr>
          <w:r w:rsidR="531B7A38">
            <w:rPr/>
            <w:t>Confidential</w:t>
          </w:r>
        </w:p>
      </w:tc>
      <w:tc>
        <w:tcPr>
          <w:tcW w:w="3005" w:type="dxa"/>
          <w:tcMar/>
        </w:tcPr>
        <w:p w:rsidR="531B7A38" w:rsidP="531B7A38" w:rsidRDefault="531B7A38" w14:paraId="19B02DA2" w14:textId="5429FB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31B7A38" w:rsidP="531B7A38" w:rsidRDefault="531B7A38" w14:paraId="6D3A759C" w14:textId="4E66850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31B7A38" w:rsidP="531B7A38" w:rsidRDefault="531B7A38" w14:paraId="747AEE13" w14:textId="29315CB8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135"/>
    </w:tblGrid>
    <w:tr w:rsidR="531B7A38" w:rsidTr="531B7A38" w14:paraId="66CA1F85">
      <w:trPr>
        <w:trHeight w:val="300"/>
      </w:trPr>
      <w:tc>
        <w:tcPr>
          <w:tcW w:w="3005" w:type="dxa"/>
          <w:tcMar/>
        </w:tcPr>
        <w:p w:rsidR="531B7A38" w:rsidP="531B7A38" w:rsidRDefault="531B7A38" w14:paraId="5A971497" w14:textId="4C9EEE04">
          <w:pPr>
            <w:pStyle w:val="Header"/>
            <w:bidi w:val="0"/>
            <w:ind w:left="-115"/>
            <w:jc w:val="left"/>
          </w:pPr>
          <w:r w:rsidR="531B7A38">
            <w:drawing>
              <wp:inline wp14:editId="20E48AA8" wp14:anchorId="2DAC9DB7">
                <wp:extent cx="1755521" cy="504825"/>
                <wp:effectExtent l="0" t="0" r="0" b="0"/>
                <wp:docPr id="116614190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66141909" name="Picture 116614190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86370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5521" cy="5048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531B7A38" w:rsidP="531B7A38" w:rsidRDefault="531B7A38" w14:paraId="58DE79C7" w14:textId="2904561D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31B7A38" w:rsidP="531B7A38" w:rsidRDefault="531B7A38" w14:paraId="4E770491" w14:textId="157EA298">
          <w:pPr>
            <w:pStyle w:val="Header"/>
            <w:bidi w:val="0"/>
            <w:ind w:right="-115"/>
            <w:jc w:val="right"/>
          </w:pPr>
          <w:r w:rsidR="531B7A38">
            <w:rPr/>
            <w:t>Data Room</w:t>
          </w:r>
        </w:p>
        <w:p w:rsidR="531B7A38" w:rsidP="531B7A38" w:rsidRDefault="531B7A38" w14:paraId="5197A0A1" w14:textId="7E910E8A">
          <w:pPr>
            <w:pStyle w:val="Header"/>
            <w:bidi w:val="0"/>
            <w:ind w:right="-115"/>
            <w:jc w:val="right"/>
          </w:pPr>
          <w:r w:rsidR="531B7A38">
            <w:rPr/>
            <w:t>Created at: 11.06.2026</w:t>
          </w:r>
        </w:p>
        <w:p w:rsidR="531B7A38" w:rsidP="531B7A38" w:rsidRDefault="531B7A38" w14:paraId="5479D5A0" w14:textId="6D2AF88C">
          <w:pPr>
            <w:pStyle w:val="Header"/>
            <w:bidi w:val="0"/>
            <w:ind w:right="-115"/>
            <w:jc w:val="right"/>
          </w:pPr>
          <w:r w:rsidR="531B7A38">
            <w:rPr/>
            <w:t>Authored by: Xhurian Shaba</w:t>
          </w:r>
        </w:p>
      </w:tc>
    </w:tr>
  </w:tbl>
  <w:p w:rsidR="531B7A38" w:rsidP="531B7A38" w:rsidRDefault="531B7A38" w14:paraId="4B8EF386" w14:textId="48A7E0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dirty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.xml"/><Relationship Id="rId10" Type="http://schemas.openxmlformats.org/officeDocument/2006/relationships/footer" Target="footer.xml"/></Relationship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9cefd545ed1e4998" /><Relationship Type="http://schemas.openxmlformats.org/officeDocument/2006/relationships/footer" Target="/word/footer.xml" Id="R084a1feab95247cf" /></Relationships>
</file>

<file path=word/_rels/footnotes.xml.rels><?xml version="1.0" encoding="UTF-8"?>
<Relationships xmlns="http://schemas.openxmlformats.org/package/2006/relationships" /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86370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2026-06-11T12:37:16Z</dcterms:created>
  <dcterms:modified xsi:type="dcterms:W3CDTF">2026-06-11T12:37:16Z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