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footer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key-metrics-dashboard"/>
      <w:r>
        <w:t xml:space="preserve">écentic — Key Metrics Dashboard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Refresh cadence:</w:t>
      </w:r>
      <w:r>
        <w:t xml:space="preserve"> </w:t>
      </w:r>
      <w:r>
        <w:t xml:space="preserve">Monthly (this static one-pager) · Live dashboard available in-product (post-Q3 2026)</w:t>
      </w:r>
    </w:p>
    <w:p>
      <w:pPr>
        <w:pStyle w:val="BodyText"/>
      </w:pPr>
      <w:r>
        <w:t xml:space="preserve">This is the one-page snapshot most investors want. Pulled from the financial model, customer KPIs, sales pipeline, and product analytics. Updated monthly on the first business day.</w:t>
      </w:r>
    </w:p>
    <w:p>
      <w:pPr>
        <w:pStyle w:val="Heading2"/>
      </w:pPr>
      <w:bookmarkStart w:id="21" w:name="headline-numbers-as-of-2-june-2026"/>
      <w:r>
        <w:t xml:space="preserve">Headline numbers (as of 2 June 2026)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MRR</w:t>
            </w:r>
          </w:p>
        </w:tc>
        <w:tc>
          <w:p>
            <w:pPr>
              <w:pStyle w:val="Compact"/>
              <w:jc w:val="left"/>
            </w:pPr>
            <w:r>
              <w:t xml:space="preserve">&lt;€500</w:t>
            </w:r>
          </w:p>
        </w:tc>
        <w:tc>
          <w:p>
            <w:pPr>
              <w:pStyle w:val="Compact"/>
              <w:jc w:val="left"/>
            </w:pPr>
            <w:r>
              <w:t xml:space="preserve">2 paying customers (Dua, Avatid)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 (annualised)</w:t>
            </w:r>
          </w:p>
        </w:tc>
        <w:tc>
          <w:p>
            <w:pPr>
              <w:pStyle w:val="Compact"/>
              <w:jc w:val="left"/>
            </w:pPr>
            <w:r>
              <w:t xml:space="preserve">&lt;€6,000</w:t>
            </w:r>
          </w:p>
        </w:tc>
        <w:tc>
          <w:p>
            <w:pPr>
              <w:pStyle w:val="Compact"/>
              <w:jc w:val="left"/>
            </w:pPr>
            <w:r>
              <w:t xml:space="preserve">Below tier base price, early customer pricing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Cash on hand</w:t>
            </w:r>
          </w:p>
        </w:tc>
        <w:tc>
          <w:p>
            <w:pPr>
              <w:pStyle w:val="Compact"/>
              <w:jc w:val="left"/>
            </w:pPr>
            <w:r>
              <w:t xml:space="preserve">&lt;€5,000</w:t>
            </w:r>
          </w:p>
        </w:tc>
        <w:tc>
          <w:p>
            <w:pPr>
              <w:pStyle w:val="Compact"/>
              <w:jc w:val="left"/>
            </w:pPr>
            <w:r>
              <w:t xml:space="preserve">Founder-funded; round closing target Q3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Monthly burn</w:t>
            </w:r>
          </w:p>
        </w:tc>
        <w:tc>
          <w:p>
            <w:pPr>
              <w:pStyle w:val="Compact"/>
              <w:jc w:val="left"/>
            </w:pPr>
            <w:r>
              <w:t xml:space="preserve">&lt;€500</w:t>
            </w:r>
          </w:p>
        </w:tc>
        <w:tc>
          <w:p>
            <w:pPr>
              <w:pStyle w:val="Compact"/>
              <w:jc w:val="left"/>
            </w:pPr>
            <w:r>
              <w:t xml:space="preserve">No founder salaries yet; pure infra and tooling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Runway</w:t>
            </w:r>
          </w:p>
        </w:tc>
        <w:tc>
          <w:p>
            <w:pPr>
              <w:pStyle w:val="Compact"/>
              <w:jc w:val="left"/>
            </w:pPr>
            <w:r>
              <w:t xml:space="preserve">&gt;10 months at current burn</w:t>
            </w:r>
          </w:p>
        </w:tc>
        <w:tc>
          <w:p>
            <w:pPr>
              <w:pStyle w:val="Compact"/>
              <w:jc w:val="left"/>
            </w:pPr>
            <w:r>
              <w:t xml:space="preserve">Without the raise. With the raise, ~20 months at projected post-raise burn.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Paying customers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Plus 10+ free-scan or trial accounts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Pipeline (weighted)</w:t>
            </w:r>
          </w:p>
        </w:tc>
        <w:tc>
          <w:p>
            <w:pPr>
              <w:pStyle w:val="Compact"/>
              <w:jc w:val="left"/>
            </w:pPr>
            <w:r>
              <w:t xml:space="preserve">~€40K</w:t>
            </w:r>
          </w:p>
        </w:tc>
        <w:tc>
          <w:p>
            <w:pPr>
              <w:pStyle w:val="Compact"/>
              <w:jc w:val="left"/>
            </w:pPr>
            <w:r>
              <w:t xml:space="preserve">Calculated in</w:t>
            </w:r>
            <w:r>
              <w:t xml:space="preserve"> </w:t>
            </w:r>
            <w:r>
              <w:rPr>
                <w:rStyle w:val="VerbatimChar"/>
              </w:rPr>
              <w:t xml:space="preserve">dataroom/2_traction_financials/2.1_customers/sales-pipeline.xlsx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Pipeline (unweighted)</w:t>
            </w:r>
          </w:p>
        </w:tc>
        <w:tc>
          <w:p>
            <w:pPr>
              <w:pStyle w:val="Compact"/>
              <w:jc w:val="left"/>
            </w:pPr>
            <w:r>
              <w:t xml:space="preserve">~€280K</w:t>
            </w:r>
          </w:p>
        </w:tc>
        <w:tc>
          <w:p>
            <w:pPr>
              <w:pStyle w:val="Compact"/>
              <w:jc w:val="left"/>
            </w:pPr>
            <w:r>
              <w:t xml:space="preserve">Includes enterprise long-shots</w:t>
            </w:r>
          </w:p>
        </w:tc>
      </w:tr>
    </w:tbl>
    <w:p>
      <w:pPr>
        <w:pStyle w:val="Heading2"/>
      </w:pPr>
      <w:bookmarkStart w:id="22" w:name="X094769fbc7999104f5374a107f183f5e11c108c"/>
      <w:r>
        <w:t xml:space="preserve">Year-1 targets (raise closes Q3 2026 → end Q2 2027)</w:t>
      </w:r>
      <w:bookmarkEnd w:id="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Paying customers</w:t>
            </w:r>
          </w:p>
        </w:tc>
        <w:tc>
          <w:p>
            <w:pPr>
              <w:pStyle w:val="Compact"/>
              <w:jc w:val="left"/>
            </w:pPr>
            <w:r>
              <w:t xml:space="preserve">100–150 SaaS + 1 enterprise</w:t>
            </w:r>
          </w:p>
        </w:tc>
        <w:tc>
          <w:p>
            <w:pPr>
              <w:pStyle w:val="Compact"/>
              <w:jc w:val="left"/>
            </w:pPr>
            <w:r>
              <w:t xml:space="preserve">Lean-plan baseline; ramps from M3 onwards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 exit-rate</w:t>
            </w:r>
          </w:p>
        </w:tc>
        <w:tc>
          <w:p>
            <w:pPr>
              <w:pStyle w:val="Compact"/>
              <w:jc w:val="left"/>
            </w:pPr>
            <w:r>
              <w:t xml:space="preserve">€450K</w:t>
            </w:r>
          </w:p>
        </w:tc>
        <w:tc>
          <w:p>
            <w:pPr>
              <w:pStyle w:val="Compact"/>
              <w:jc w:val="left"/>
            </w:pPr>
            <w:r>
              <w:t xml:space="preserve">Per the financial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contracts delivered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Carrefour, eBay, or Inditex (first to close)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App Store installs (cumulative)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Includes free-tier installs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Connect-tier ARR contribution</w:t>
            </w:r>
          </w:p>
        </w:tc>
        <w:tc>
          <w:p>
            <w:pPr>
              <w:pStyle w:val="Compact"/>
              <w:jc w:val="left"/>
            </w:pPr>
            <w:r>
              <w:t xml:space="preserve">€115K</w:t>
            </w:r>
          </w:p>
        </w:tc>
        <w:tc>
          <w:p>
            <w:pPr>
              <w:pStyle w:val="Compact"/>
              <w:jc w:val="left"/>
            </w:pPr>
            <w:r>
              <w:t xml:space="preserve">70 customers × €1,644 avg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Compete-tier ARR contribution</w:t>
            </w:r>
          </w:p>
        </w:tc>
        <w:tc>
          <w:p>
            <w:pPr>
              <w:pStyle w:val="Compact"/>
              <w:jc w:val="left"/>
            </w:pPr>
            <w:r>
              <w:t xml:space="preserve">€220K</w:t>
            </w:r>
          </w:p>
        </w:tc>
        <w:tc>
          <w:p>
            <w:pPr>
              <w:pStyle w:val="Compact"/>
              <w:jc w:val="left"/>
            </w:pPr>
            <w:r>
              <w:t xml:space="preserve">40 customers × €5,508 avg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Dominate-tier ARR contribution</w:t>
            </w:r>
          </w:p>
        </w:tc>
        <w:tc>
          <w:p>
            <w:pPr>
              <w:pStyle w:val="Compact"/>
              <w:jc w:val="left"/>
            </w:pPr>
            <w:r>
              <w:t xml:space="preserve">€110K</w:t>
            </w:r>
          </w:p>
        </w:tc>
        <w:tc>
          <w:p>
            <w:pPr>
              <w:pStyle w:val="Compact"/>
              <w:jc w:val="left"/>
            </w:pPr>
            <w:r>
              <w:t xml:space="preserve">10 customers × €11,028 avg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ARR contribution</w:t>
            </w:r>
          </w:p>
        </w:tc>
        <w:tc>
          <w:p>
            <w:pPr>
              <w:pStyle w:val="Compact"/>
              <w:jc w:val="left"/>
            </w:pPr>
            <w:r>
              <w:t xml:space="preserve">€50K</w:t>
            </w:r>
          </w:p>
        </w:tc>
        <w:tc>
          <w:p>
            <w:pPr>
              <w:pStyle w:val="Compact"/>
              <w:jc w:val="left"/>
            </w:pPr>
            <w:r>
              <w:t xml:space="preserve">1 contract × €50K ACV</w:t>
            </w:r>
          </w:p>
        </w:tc>
      </w:tr>
    </w:tbl>
    <w:p>
      <w:pPr>
        <w:pStyle w:val="Heading2"/>
      </w:pPr>
      <w:bookmarkStart w:id="23" w:name="Xf83320d66883f607d93a32eee23ed64ba861172"/>
      <w:r>
        <w:t xml:space="preserve">Funnel snapshot (when App Store launch goes live, Q3 2026)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Conversion benchmark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measurable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 Store visitor → install</w:t>
            </w:r>
          </w:p>
        </w:tc>
        <w:tc>
          <w:p>
            <w:pPr>
              <w:pStyle w:val="Compact"/>
              <w:jc w:val="left"/>
            </w:pPr>
            <w:r>
              <w:t xml:space="preserve">8–12%</w:t>
            </w:r>
          </w:p>
        </w:tc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Install → first scan</w:t>
            </w:r>
          </w:p>
        </w:tc>
        <w:tc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 scan → 14-day trial</w:t>
            </w:r>
          </w:p>
        </w:tc>
        <w:tc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p>
            <w:pPr>
              <w:pStyle w:val="Compact"/>
              <w:jc w:val="left"/>
            </w:pPr>
            <w:r>
              <w:t xml:space="preserve">Q3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 → paid Connect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Q4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 → Compete upgrade (60 days)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Q1 2027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Compete → Dominate upgrade (12 months)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Q3 2027</w:t>
            </w:r>
          </w:p>
        </w:tc>
      </w:tr>
    </w:tbl>
    <w:p>
      <w:pPr>
        <w:pStyle w:val="Heading2"/>
      </w:pPr>
      <w:bookmarkStart w:id="24" w:name="customer-health"/>
      <w:r>
        <w:t xml:space="preserve">Customer health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ARPA (€/mo)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30-day activation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June 2026 (current)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~250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n/a (sample too small)</w:t>
            </w:r>
          </w:p>
        </w:tc>
      </w:tr>
    </w:tbl>
    <w:p>
      <w:pPr>
        <w:pStyle w:val="BodyText"/>
      </w:pPr>
      <w:r>
        <w:t xml:space="preserve">Cohort-level tracking begins in earnest once the Q3 cohort lands. Until then this view is a placeholder.</w:t>
      </w:r>
    </w:p>
    <w:p>
      <w:pPr>
        <w:pStyle w:val="Heading2"/>
      </w:pPr>
      <w:bookmarkStart w:id="25" w:name="product-activity"/>
      <w:r>
        <w:t xml:space="preserve">Product activity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simulations run (cumulative)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p>
            <w:pPr>
              <w:pStyle w:val="Compact"/>
              <w:jc w:val="left"/>
            </w:pPr>
            <w:r>
              <w:t xml:space="preserve">All-time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simulated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GPT-4, Claude, Gemini, Perplexity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integrations</w:t>
            </w:r>
          </w:p>
        </w:tc>
        <w:tc>
          <w:p>
            <w:pPr>
              <w:pStyle w:val="Compact"/>
              <w:jc w:val="left"/>
            </w:pPr>
            <w:r>
              <w:t xml:space="preserve">Shopify, WooCommerce, Generic feed, UCP profile</w:t>
            </w:r>
          </w:p>
        </w:tc>
        <w:tc>
          <w:p>
            <w:pPr>
              <w:pStyle w:val="Compact"/>
              <w:jc w:val="left"/>
            </w:pPr>
            <w:r>
              <w:t xml:space="preserve">Live in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deployments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Steady cadence since Feb 2026</w:t>
            </w:r>
          </w:p>
        </w:tc>
      </w:tr>
    </w:tbl>
    <w:p>
      <w:pPr>
        <w:pStyle w:val="Heading2"/>
      </w:pPr>
      <w:bookmarkStart w:id="26" w:name="team"/>
      <w:r>
        <w:t xml:space="preserve">Team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Headcount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Founders on cap table</w:t>
            </w:r>
          </w:p>
        </w:tc>
        <w:tc>
          <w:p>
            <w:pPr>
              <w:pStyle w:val="Compact"/>
              <w:jc w:val="left"/>
            </w:pPr>
            <w:r>
              <w:t xml:space="preserve">3 (Xhurian, Alvi, Iseld)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Contractors</w:t>
            </w:r>
          </w:p>
        </w:tc>
        <w:tc>
          <w:p>
            <w:pPr>
              <w:pStyle w:val="Compact"/>
              <w:jc w:val="left"/>
            </w:pPr>
            <w:r>
              <w:t xml:space="preserve">2 (Mario — Product, Arbi — AI)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full-time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Year-1 plan</w:t>
            </w:r>
          </w:p>
        </w:tc>
        <w:tc>
          <w:p>
            <w:pPr>
              <w:pStyle w:val="Compact"/>
              <w:jc w:val="left"/>
            </w:pPr>
            <w:r>
              <w:t xml:space="preserve">+5 hires (Engineer #1, GTM Lead, Engineer #2, Marketing Lead, CS)</w:t>
            </w:r>
          </w:p>
        </w:tc>
      </w:tr>
    </w:tbl>
    <w:p>
      <w:pPr>
        <w:pStyle w:val="Heading2"/>
      </w:pPr>
      <w:bookmarkStart w:id="27" w:name="cap-table-current"/>
      <w:r>
        <w:t xml:space="preserve">Cap table (current)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issued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Xhurian Shaba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Founder, CEO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Alvi Palloshi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Founder, CTO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Iseld Muça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Founder, Head of Sales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ESOP Pool (reserved, unissued)</w:t>
            </w:r>
          </w:p>
        </w:tc>
        <w:tc>
          <w:p>
            <w:pPr>
              <w:pStyle w:val="Compact"/>
              <w:jc w:val="left"/>
            </w:pPr>
            <w:r>
              <w:t xml:space="preserve">10% of fully diluted</w:t>
            </w:r>
          </w:p>
        </w:tc>
        <w:tc>
          <w:p>
            <w:pPr>
              <w:pStyle w:val="Compact"/>
              <w:jc w:val="left"/>
            </w:pPr>
            <w:r>
              <w:t xml:space="preserve">Per Stock Option Plan</w:t>
            </w:r>
          </w:p>
        </w:tc>
      </w:tr>
    </w:tbl>
    <w:p>
      <w:pPr>
        <w:pStyle w:val="BodyText"/>
      </w:pPr>
      <w:r>
        <w:t xml:space="preserve">Full cap table including post-money scenarios in</w:t>
      </w:r>
      <w:r>
        <w:t xml:space="preserve"> </w:t>
      </w:r>
      <w:r>
        <w:rPr>
          <w:rStyle w:val="VerbatimChar"/>
        </w:rPr>
        <w:t xml:space="preserve">dataroom/1_company_fundamentals/1.4_investment_docs/ecentic-cap-table.xlsx</w:t>
      </w:r>
      <w:r>
        <w:t xml:space="preserve">.</w:t>
      </w:r>
    </w:p>
    <w:p>
      <w:pPr>
        <w:pStyle w:val="Heading2"/>
      </w:pPr>
      <w:bookmarkStart w:id="28" w:name="round-details"/>
      <w:r>
        <w:t xml:space="preserve">Round details</w:t>
      </w:r>
      <w:bookmarkEnd w:id="28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Raise target</w:t>
            </w:r>
          </w:p>
        </w:tc>
        <w:tc>
          <w:p>
            <w:pPr>
              <w:pStyle w:val="Compact"/>
              <w:jc w:val="left"/>
            </w:pPr>
            <w:r>
              <w:t xml:space="preserve">€500,000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Round type</w:t>
            </w:r>
          </w:p>
        </w:tc>
        <w:tc>
          <w:p>
            <w:pPr>
              <w:pStyle w:val="Compact"/>
              <w:jc w:val="left"/>
            </w:pPr>
            <w:r>
              <w:t xml:space="preserve">SAFE / priced seed (open to both)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post-money valuation</w:t>
            </w:r>
          </w:p>
        </w:tc>
        <w:tc>
          <w:p>
            <w:pPr>
              <w:pStyle w:val="Compact"/>
              <w:jc w:val="left"/>
            </w:pPr>
            <w:r>
              <w:t xml:space="preserve">€4M–€6M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Recommended scenario</w:t>
            </w:r>
          </w:p>
        </w:tc>
        <w:tc>
          <w:p>
            <w:pPr>
              <w:pStyle w:val="Compact"/>
              <w:jc w:val="left"/>
            </w:pPr>
            <w:r>
              <w:t xml:space="preserve">€5M post-money → 10% investor ownership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of funds</w:t>
            </w:r>
          </w:p>
        </w:tc>
        <w:tc>
          <w:p>
            <w:pPr>
              <w:pStyle w:val="Compact"/>
              <w:jc w:val="left"/>
            </w:pPr>
            <w:r>
              <w:t xml:space="preserve">30% GTM/US Sales · 20% Events + App Store · 15% US move · 10% Eng/Advisory · 15% Ops · 10% Contingency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Year-1 milestones the raise unlocks</w:t>
            </w:r>
          </w:p>
        </w:tc>
        <w:tc>
          <w:p>
            <w:pPr>
              <w:pStyle w:val="Compact"/>
              <w:jc w:val="left"/>
            </w:pPr>
            <w:r>
              <w:t xml:space="preserve">App Store scale, 100-150 paying merchants, 1 enterprise contract delivered, €450K ARR, SOC 2 Type I, Series A pre-positioning</w:t>
            </w:r>
          </w:p>
        </w:tc>
      </w:tr>
    </w:tbl>
    <w:p>
      <w:pPr>
        <w:pStyle w:val="Heading2"/>
      </w:pPr>
      <w:bookmarkStart w:id="29" w:name="programmes-and-recognition"/>
      <w:r>
        <w:t xml:space="preserve">Programmes and recognition</w:t>
      </w:r>
      <w:bookmarkEnd w:id="29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Plug and Play Tirana</w:t>
            </w:r>
          </w:p>
        </w:tc>
        <w:tc>
          <w:p>
            <w:pPr>
              <w:pStyle w:val="Compact"/>
              <w:jc w:val="left"/>
            </w:pPr>
            <w:r>
              <w:t xml:space="preserve">Batch 2 (February 2026 cohort)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 Bull Basement</w:t>
            </w:r>
          </w:p>
        </w:tc>
        <w:tc>
          <w:p>
            <w:pPr>
              <w:pStyle w:val="Compact"/>
              <w:jc w:val="left"/>
            </w:pPr>
            <w:r>
              <w:t xml:space="preserve">Albania national winner, World Final June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FRC (Fil Rouge Capital)</w:t>
            </w:r>
          </w:p>
        </w:tc>
        <w:tc>
          <w:p>
            <w:pPr>
              <w:pStyle w:val="Compact"/>
              <w:jc w:val="left"/>
            </w:pPr>
            <w:r>
              <w:t xml:space="preserve">Accelerator track engagement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App Store</w:t>
            </w:r>
          </w:p>
        </w:tc>
        <w:tc>
          <w:p>
            <w:pPr>
              <w:pStyle w:val="Compact"/>
              <w:jc w:val="left"/>
            </w:pPr>
            <w:r>
              <w:t xml:space="preserve">Live, write-back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Visa Trusted Agent Protocol</w:t>
            </w:r>
          </w:p>
        </w:tc>
        <w:tc>
          <w:p>
            <w:pPr>
              <w:pStyle w:val="Compact"/>
              <w:jc w:val="left"/>
            </w:pPr>
            <w:r>
              <w:t xml:space="preserve">Partner fit story active with Carrefour pipeline as wedge</w:t>
            </w:r>
          </w:p>
        </w:tc>
      </w:tr>
    </w:tbl>
    <w:p>
      <w:pPr>
        <w:pStyle w:val="Heading2"/>
      </w:pPr>
      <w:bookmarkStart w:id="30" w:name="risks-tracked-monthly"/>
      <w:r>
        <w:t xml:space="preserve">Risks tracked monthly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  <w:r>
              <w:t xml:space="preserve"> </w:t>
            </w:r>
            <w:r>
              <w:rPr>
                <w:rStyle w:val="VerbatimChar"/>
              </w:rPr>
              <w:t xml:space="preserve">ecentic.com</w:t>
            </w:r>
            <w:r>
              <w:t xml:space="preserve"> </w:t>
            </w:r>
            <w:r>
              <w:t xml:space="preserve">not owned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Acquisition cost being scoped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Trademark not filed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DPPI filing scheduled within 90 days of 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 2 not yet certified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Vanta engaged; Type I target Q3 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Single-region engineering team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Distributed hiring opens Year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coverage absent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First integration tests post-M3, owned by Engineer #1</w:t>
            </w:r>
          </w:p>
        </w:tc>
      </w:tr>
    </w:tbl>
    <w:p>
      <w:pPr>
        <w:pStyle w:val="Heading2"/>
      </w:pPr>
      <w:bookmarkStart w:id="31" w:name="what-changed-in-the-last-month"/>
      <w:r>
        <w:t xml:space="preserve">What changed in the last month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Filed for Red Bull Basement Albania (won), preparing for World Final in SF</w:t>
      </w:r>
    </w:p>
    <w:p>
      <w:pPr>
        <w:numPr>
          <w:ilvl w:val="0"/>
          <w:numId w:val="1001"/>
        </w:numPr>
        <w:pStyle w:val="Compact"/>
      </w:pPr>
      <w:r>
        <w:t xml:space="preserve">Joined Plug and Play Tirana Batch 2 cohort officially</w:t>
      </w:r>
    </w:p>
    <w:p>
      <w:pPr>
        <w:numPr>
          <w:ilvl w:val="0"/>
          <w:numId w:val="1001"/>
        </w:numPr>
        <w:pStyle w:val="Compact"/>
      </w:pPr>
      <w:r>
        <w:t xml:space="preserve">Tightened ICP and pricing model (this dashboard)</w:t>
      </w:r>
    </w:p>
    <w:p>
      <w:pPr>
        <w:numPr>
          <w:ilvl w:val="0"/>
          <w:numId w:val="1001"/>
        </w:numPr>
        <w:pStyle w:val="Compact"/>
      </w:pPr>
      <w:r>
        <w:t xml:space="preserve">Sales pipeline structured into a tracked spreadsheet</w:t>
      </w:r>
    </w:p>
    <w:p>
      <w:pPr>
        <w:numPr>
          <w:ilvl w:val="0"/>
          <w:numId w:val="1001"/>
        </w:numPr>
        <w:pStyle w:val="Compact"/>
      </w:pPr>
      <w:r>
        <w:t xml:space="preserve">Drafted data room (this document and everything around it)</w:t>
      </w:r>
    </w:p>
    <w:p>
      <w:pPr>
        <w:numPr>
          <w:ilvl w:val="0"/>
          <w:numId w:val="1001"/>
        </w:numPr>
        <w:pStyle w:val="Compact"/>
      </w:pPr>
      <w:r>
        <w:t xml:space="preserve">Confirmed Dua Flavours testimonial use rights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dashboard is the source of truth for the headline numbers across the pitch deck, one-pager, and investor updates. All deeper detail lives in the underlying spreadsheets and documents linked above. Numbers are updated on the first business day of each month; any inconsistency between this document and the pitch deck must be resolved before this document is finalised.</w:t>
      </w:r>
    </w:p>
    <w:sectPr/>
    <w:headerReference xmlns:r="http://schemas.openxmlformats.org/officeDocument/2006/relationships" w:type="default" r:id="rId9"/>
    <w:footerReference xmlns:r="http://schemas.openxmlformats.org/officeDocument/2006/relationships" w:type="default" r:id="rId1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31B7A38" w:rsidTr="531B7A38" w14:paraId="29A8EC8A">
      <w:trPr>
        <w:trHeight w:val="300"/>
      </w:trPr>
      <w:tc>
        <w:tcPr>
          <w:tcW w:w="3005" w:type="dxa"/>
          <w:tcMar/>
        </w:tcPr>
        <w:p w:rsidR="531B7A38" w:rsidP="531B7A38" w:rsidRDefault="531B7A38" w14:paraId="36E1DEAD" w14:textId="598CD99D">
          <w:pPr>
            <w:pStyle w:val="Header"/>
            <w:bidi w:val="0"/>
            <w:ind w:left="-115"/>
            <w:jc w:val="left"/>
          </w:pPr>
          <w:r w:rsidR="531B7A38">
            <w:rPr/>
            <w:t>Confidential</w:t>
          </w:r>
        </w:p>
      </w:tc>
      <w:tc>
        <w:tcPr>
          <w:tcW w:w="3005" w:type="dxa"/>
          <w:tcMar/>
        </w:tcPr>
        <w:p w:rsidR="531B7A38" w:rsidP="531B7A38" w:rsidRDefault="531B7A38" w14:paraId="19B02DA2" w14:textId="5429FB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31B7A38" w:rsidP="531B7A38" w:rsidRDefault="531B7A38" w14:paraId="6D3A759C" w14:textId="4E66850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31B7A38" w:rsidP="531B7A38" w:rsidRDefault="531B7A38" w14:paraId="747AEE13" w14:textId="29315CB8">
    <w:pPr>
      <w:pStyle w:val="Footer"/>
      <w:bidi w:val="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135"/>
    </w:tblGrid>
    <w:tr w:rsidR="531B7A38" w:rsidTr="531B7A38" w14:paraId="66CA1F85">
      <w:trPr>
        <w:trHeight w:val="300"/>
      </w:trPr>
      <w:tc>
        <w:tcPr>
          <w:tcW w:w="3005" w:type="dxa"/>
          <w:tcMar/>
        </w:tcPr>
        <w:p w:rsidR="531B7A38" w:rsidP="531B7A38" w:rsidRDefault="531B7A38" w14:paraId="5A971497" w14:textId="4C9EEE04">
          <w:pPr>
            <w:pStyle w:val="Header"/>
            <w:bidi w:val="0"/>
            <w:ind w:left="-115"/>
            <w:jc w:val="left"/>
          </w:pPr>
          <w:r w:rsidR="531B7A38">
            <w:drawing>
              <wp:inline wp14:editId="20E48AA8" wp14:anchorId="2DAC9DB7">
                <wp:extent cx="1755521" cy="504825"/>
                <wp:effectExtent l="0" t="0" r="0" b="0"/>
                <wp:docPr id="1166141909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66141909" name="Picture 1166141909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786370339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55521" cy="5048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531B7A38" w:rsidP="531B7A38" w:rsidRDefault="531B7A38" w14:paraId="58DE79C7" w14:textId="2904561D">
          <w:pPr>
            <w:pStyle w:val="Header"/>
            <w:bidi w:val="0"/>
            <w:jc w:val="center"/>
          </w:pPr>
        </w:p>
      </w:tc>
      <w:tc>
        <w:tcPr>
          <w:tcW w:w="3135" w:type="dxa"/>
          <w:tcMar/>
        </w:tcPr>
        <w:p w:rsidR="531B7A38" w:rsidP="531B7A38" w:rsidRDefault="531B7A38" w14:paraId="4E770491" w14:textId="157EA298">
          <w:pPr>
            <w:pStyle w:val="Header"/>
            <w:bidi w:val="0"/>
            <w:ind w:right="-115"/>
            <w:jc w:val="right"/>
          </w:pPr>
          <w:r w:rsidR="531B7A38">
            <w:rPr/>
            <w:t>Data Room</w:t>
          </w:r>
        </w:p>
        <w:p w:rsidR="531B7A38" w:rsidP="531B7A38" w:rsidRDefault="531B7A38" w14:paraId="5197A0A1" w14:textId="7E910E8A">
          <w:pPr>
            <w:pStyle w:val="Header"/>
            <w:bidi w:val="0"/>
            <w:ind w:right="-115"/>
            <w:jc w:val="right"/>
          </w:pPr>
          <w:r w:rsidR="531B7A38">
            <w:rPr/>
            <w:t>Created at: 11.06.2026</w:t>
          </w:r>
        </w:p>
        <w:p w:rsidR="531B7A38" w:rsidP="531B7A38" w:rsidRDefault="531B7A38" w14:paraId="5479D5A0" w14:textId="6D2AF88C">
          <w:pPr>
            <w:pStyle w:val="Header"/>
            <w:bidi w:val="0"/>
            <w:ind w:right="-115"/>
            <w:jc w:val="right"/>
          </w:pPr>
          <w:r w:rsidR="531B7A38">
            <w:rPr/>
            <w:t>Authored by: Xhurian Shaba</w:t>
          </w:r>
        </w:p>
      </w:tc>
    </w:tr>
  </w:tbl>
  <w:p w:rsidR="531B7A38" w:rsidP="531B7A38" w:rsidRDefault="531B7A38" w14:paraId="4B8EF386" w14:textId="48A7E0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dirty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31B7A3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.xml"/><Relationship Id="rId10" Type="http://schemas.openxmlformats.org/officeDocument/2006/relationships/footer" Target="footer.xml"/></Relationship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9cefd545ed1e4998" /><Relationship Type="http://schemas.openxmlformats.org/officeDocument/2006/relationships/footer" Target="/word/footer.xml" Id="R084a1feab95247cf" /></Relationships>
</file>

<file path=word/_rels/footnotes.xml.rels><?xml version="1.0" encoding="UTF-8"?>
<Relationships xmlns="http://schemas.openxmlformats.org/package/2006/relationships" /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17863703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2026-06-11T12:44:33Z</dcterms:created>
  <dcterms:modified xsi:type="dcterms:W3CDTF">2026-06-11T12:44:33Z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