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long-term-vision"/>
      <w:r>
        <w:t xml:space="preserve">écentic — Long-Term Vision</w:t>
      </w:r>
      <w:bookmarkEnd w:id="20"/>
    </w:p>
    <w:p>
      <w:pPr>
        <w:pStyle w:val="FirstParagraph"/>
      </w:pPr>
      <w:r>
        <w:rPr>
          <w:b/>
        </w:rPr>
        <w:t xml:space="preserve">Last updated:</w:t>
      </w:r>
      <w:r>
        <w:t xml:space="preserve"> </w:t>
      </w:r>
      <w:r>
        <w:t xml:space="preserve">2026-06-02</w:t>
      </w:r>
    </w:p>
    <w:p>
      <w:pPr>
        <w:pStyle w:val="Heading2"/>
      </w:pPr>
      <w:bookmarkStart w:id="21" w:name="what-we-are-building"/>
      <w:r>
        <w:t xml:space="preserve">What we are building</w:t>
      </w:r>
      <w:bookmarkEnd w:id="21"/>
    </w:p>
    <w:p>
      <w:pPr>
        <w:pStyle w:val="FirstParagraph"/>
      </w:pPr>
      <w:r>
        <w:t xml:space="preserve">The optimisation layer for the agent commerce economy — across both the merchant and the payment surfaces.</w:t>
      </w:r>
    </w:p>
    <w:p>
      <w:pPr>
        <w:pStyle w:val="BodyText"/>
      </w:pPr>
      <w:r>
        <w:t xml:space="preserve">Today we make Shopify and WooCommerce stores winnable when AI agents do the shopping. We simulate every major AI shopper, diagnose why a store loses each cart, and auto-publish the fix. That product is live, shipping weekly, with paying customers.</w:t>
      </w:r>
    </w:p>
    <w:p>
      <w:pPr>
        <w:pStyle w:val="BodyText"/>
      </w:pPr>
      <w:r>
        <w:t xml:space="preserve">Tomorrow we extend the same playbook to a layer the industry hasn’t built yet:</w:t>
      </w:r>
      <w:r>
        <w:t xml:space="preserve"> </w:t>
      </w:r>
      <w:r>
        <w:rPr>
          <w:b/>
        </w:rPr>
        <w:t xml:space="preserve">making the smaller payment vendors agent-readable, so AI agents can check out through them too</w:t>
      </w:r>
      <w:r>
        <w:t xml:space="preserve">.</w:t>
      </w:r>
    </w:p>
    <w:p>
      <w:r>
        <w:pict>
          <v:rect style="width:0;height:1.5pt" o:hralign="center" o:hrstd="t" o:hr="t"/>
        </w:pict>
      </w:r>
    </w:p>
    <w:p>
      <w:pPr>
        <w:pStyle w:val="Heading2"/>
      </w:pPr>
      <w:bookmarkStart w:id="22" w:name="today-the-merchant-optimisation-layer"/>
      <w:r>
        <w:t xml:space="preserve">Today — the merchant optimisation layer</w:t>
      </w:r>
      <w:bookmarkEnd w:id="22"/>
    </w:p>
    <w:p>
      <w:pPr>
        <w:pStyle w:val="FirstParagraph"/>
      </w:pPr>
      <w:r>
        <w:t xml:space="preserve">The current product is the entry point. It does two things:</w:t>
      </w:r>
    </w:p>
    <w:p>
      <w:pPr>
        <w:numPr>
          <w:ilvl w:val="0"/>
          <w:numId w:val="1001"/>
        </w:numPr>
        <w:pStyle w:val="Compact"/>
      </w:pPr>
      <w:r>
        <w:rPr>
          <w:b/>
        </w:rPr>
        <w:t xml:space="preserve">Makes merchants AI-trustable</w:t>
      </w:r>
      <w:r>
        <w:t xml:space="preserve"> </w:t>
      </w:r>
      <w:r>
        <w:t xml:space="preserve">— implementing Google’s Universal Commerce Protocol (UCP), the OpenAI Agentic Commerce Protocol (ACP), and the structured-data schemas AI agents actually read.</w:t>
      </w:r>
    </w:p>
    <w:p>
      <w:pPr>
        <w:numPr>
          <w:ilvl w:val="0"/>
          <w:numId w:val="1001"/>
        </w:numPr>
        <w:pStyle w:val="Compact"/>
      </w:pPr>
      <w:r>
        <w:rPr>
          <w:b/>
        </w:rPr>
        <w:t xml:space="preserve">Makes merchants AI-winning</w:t>
      </w:r>
      <w:r>
        <w:t xml:space="preserve"> </w:t>
      </w:r>
      <w:r>
        <w:t xml:space="preserve">— running parallel buying simulations across ChatGPT, Gemini, Claude, and Perplexity, diagnosing why each model picks a competitor, and auto-publishing the fixes (title, description, JSON-LD, UCP profile).</w:t>
      </w:r>
    </w:p>
    <w:p>
      <w:pPr>
        <w:pStyle w:val="FirstParagraph"/>
      </w:pPr>
      <w:r>
        <w:t xml:space="preserve">Live on Shopify, WooCommerce, and structured-data feeds. Paying customers. Active enterprise pipeline.</w:t>
      </w:r>
    </w:p>
    <w:p>
      <w:pPr>
        <w:pStyle w:val="BodyText"/>
      </w:pPr>
      <w:r>
        <w:t xml:space="preserve">This is the wedge. It is not the whole product.</w:t>
      </w:r>
    </w:p>
    <w:p>
      <w:r>
        <w:pict>
          <v:rect style="width:0;height:1.5pt" o:hralign="center" o:hrstd="t" o:hr="t"/>
        </w:pict>
      </w:r>
    </w:p>
    <w:p>
      <w:pPr>
        <w:pStyle w:val="Heading2"/>
      </w:pPr>
      <w:bookmarkStart w:id="23" w:name="the-expansion-bet-ucp-for-payments"/>
      <w:r>
        <w:t xml:space="preserve">The expansion bet — UCP for payments</w:t>
      </w:r>
      <w:bookmarkEnd w:id="23"/>
    </w:p>
    <w:p>
      <w:pPr>
        <w:pStyle w:val="FirstParagraph"/>
      </w:pPr>
      <w:r>
        <w:t xml:space="preserve">The same protocols making merchant inventory legible to AI agents — UCP, ACP, Visa Trusted Agent Protocol, Mastercard Agent Pay — are also reshaping which</w:t>
      </w:r>
      <w:r>
        <w:t xml:space="preserve"> </w:t>
      </w:r>
      <w:r>
        <w:rPr>
          <w:b/>
        </w:rPr>
        <w:t xml:space="preserve">payment methods</w:t>
      </w:r>
      <w:r>
        <w:t xml:space="preserve"> </w:t>
      </w:r>
      <w:r>
        <w:t xml:space="preserve">AI agents recognise. Today, when an AI agent transacts on behalf of a customer, it overwhelmingly defaults to the rails it knows: Visa, Mastercard, PayPal, the OpenAI checkout integration with Stripe.</w:t>
      </w:r>
    </w:p>
    <w:p>
      <w:pPr>
        <w:pStyle w:val="BodyText"/>
      </w:pPr>
      <w:r>
        <w:t xml:space="preserve">This means a large and economically significant population of regional and emerging-market payment processors are</w:t>
      </w:r>
      <w:r>
        <w:t xml:space="preserve"> </w:t>
      </w:r>
      <w:r>
        <w:rPr>
          <w:b/>
        </w:rPr>
        <w:t xml:space="preserve">silently excluded</w:t>
      </w:r>
      <w:r>
        <w:t xml:space="preserve"> </w:t>
      </w:r>
      <w:r>
        <w:t xml:space="preserve">from the agent commerce economy. They are technically functional. They process real transactions for real customers every day. But they are invisible to AI agents because they aren’t on the protocol — and therefore aren’t considered valid checkout methods when an agent makes a purchase decision.</w:t>
      </w:r>
    </w:p>
    <w:p>
      <w:pPr>
        <w:pStyle w:val="BodyText"/>
      </w:pPr>
      <w:r>
        <w:t xml:space="preserve">Examples in the écentic team’s home market:</w:t>
      </w:r>
      <w:r>
        <w:t xml:space="preserve"> </w:t>
      </w:r>
      <w:r>
        <w:rPr>
          <w:b/>
        </w:rPr>
        <w:t xml:space="preserve">POC</w:t>
      </w:r>
      <w:r>
        <w:t xml:space="preserve">,</w:t>
      </w:r>
      <w:r>
        <w:t xml:space="preserve"> </w:t>
      </w:r>
      <w:r>
        <w:rPr>
          <w:b/>
        </w:rPr>
        <w:t xml:space="preserve">Pago</w:t>
      </w:r>
      <w:r>
        <w:t xml:space="preserve"> </w:t>
      </w:r>
      <w:r>
        <w:t xml:space="preserve">— Albanian payment processors that handle real merchant transactions, but are invisible to ChatGPT, Gemini, and Claude when those agents look at</w:t>
      </w:r>
      <w:r>
        <w:t xml:space="preserve"> </w:t>
      </w:r>
      <w:r>
        <w:t xml:space="preserve">“</w:t>
      </w:r>
      <w:r>
        <w:t xml:space="preserve">how can I pay for this product.</w:t>
      </w:r>
      <w:r>
        <w:t xml:space="preserve">”</w:t>
      </w:r>
      <w:r>
        <w:t xml:space="preserve"> </w:t>
      </w:r>
      <w:r>
        <w:t xml:space="preserve">Similar dynamics exist in Greece (Viva Wallet), Romania (Netopia), Brazil (Pix participants outside the top 5), Indonesia (GoPay, OVO, DANA), Mexico (Mercado Pago, Conekta), and dozens of other emerging-market and EU-peripheral markets.</w:t>
      </w:r>
    </w:p>
    <w:p>
      <w:pPr>
        <w:pStyle w:val="BodyText"/>
      </w:pPr>
      <w:r>
        <w:t xml:space="preserve">The opportunity is to do for these payment vendors what we do today for merchants:</w:t>
      </w:r>
      <w:r>
        <w:t xml:space="preserve"> </w:t>
      </w:r>
      <w:r>
        <w:rPr>
          <w:b/>
        </w:rPr>
        <w:t xml:space="preserve">make them readable, trusted, and selectable by AI agents.</w:t>
      </w:r>
      <w:r>
        <w:t xml:space="preserve"> </w:t>
      </w:r>
      <w:r>
        <w:t xml:space="preserve">The vendor benefits from incremental agent-driven revenue; the merchant ecosystem benefits from more payment optionality at the agent checkout step; the agent ecosystem benefits from broader merchant coverage.</w:t>
      </w:r>
    </w:p>
    <w:p>
      <w:pPr>
        <w:pStyle w:val="BodyText"/>
      </w:pPr>
      <w:r>
        <w:t xml:space="preserve">The mechanism is structurally similar to the merchant work today:</w:t>
      </w:r>
      <w:r>
        <w:t xml:space="preserve"> </w:t>
      </w:r>
      <w:r>
        <w:t xml:space="preserve">- Implement the right protocol surface (UCP-for-payments extensions, signed</w:t>
      </w:r>
      <w:r>
        <w:t xml:space="preserve"> </w:t>
      </w:r>
      <w:r>
        <w:rPr>
          <w:rStyle w:val="VerbatimChar"/>
        </w:rPr>
        <w:t xml:space="preserve">/.well-known/payment-method</w:t>
      </w:r>
      <w:r>
        <w:t xml:space="preserve"> </w:t>
      </w:r>
      <w:r>
        <w:t xml:space="preserve">profiles, TAP signing primitives for non-card payment rails)</w:t>
      </w:r>
      <w:r>
        <w:t xml:space="preserve"> </w:t>
      </w:r>
      <w:r>
        <w:t xml:space="preserve">- Provide the integration layer that bridges the regional vendor’s API to the agent commerce protocols</w:t>
      </w:r>
      <w:r>
        <w:t xml:space="preserve"> </w:t>
      </w:r>
      <w:r>
        <w:t xml:space="preserve">- Operate the trust + observability layer that lets AI agents safely transact through a vendor they previously did not recognise</w:t>
      </w:r>
    </w:p>
    <w:p>
      <w:pPr>
        <w:pStyle w:val="BodyText"/>
      </w:pPr>
      <w:r>
        <w:t xml:space="preserve">We become the bridge between the regional payment vendors and the global agent commerce economy — a position structurally analogous to what Stripe occupied in 2010 for the merchant card-acceptance side.</w:t>
      </w:r>
    </w:p>
    <w:p>
      <w:r>
        <w:pict>
          <v:rect style="width:0;height:1.5pt" o:hralign="center" o:hrstd="t" o:hr="t"/>
        </w:pict>
      </w:r>
    </w:p>
    <w:p>
      <w:pPr>
        <w:pStyle w:val="Heading2"/>
      </w:pPr>
      <w:bookmarkStart w:id="24" w:name="three-year-horizon-2026-2029"/>
      <w:r>
        <w:t xml:space="preserve">Three-year horizon (2026 → 2029)</w:t>
      </w:r>
      <w:bookmarkEnd w:id="24"/>
    </w:p>
    <w:p>
      <w:pPr>
        <w:pStyle w:val="FirstParagraph"/>
      </w:pPr>
      <w:r>
        <w:rPr>
          <w:b/>
        </w:rPr>
        <w:t xml:space="preserve">Year 1 (2026–2027):</w:t>
      </w:r>
      <w:r>
        <w:t xml:space="preserve"> </w:t>
      </w:r>
      <w:r>
        <w:t xml:space="preserve">- Reach 100–150 paying Shopify merchants, 1 enterprise contract delivered</w:t>
      </w:r>
      <w:r>
        <w:t xml:space="preserve"> </w:t>
      </w:r>
      <w:r>
        <w:t xml:space="preserve">- US presence established (via Plug and Play GoaL, Iseld relocation)</w:t>
      </w:r>
      <w:r>
        <w:t xml:space="preserve"> </w:t>
      </w:r>
      <w:r>
        <w:t xml:space="preserve">- €450K ARR exit-rate</w:t>
      </w:r>
      <w:r>
        <w:t xml:space="preserve"> </w:t>
      </w:r>
      <w:r>
        <w:t xml:space="preserve">- SOC 2 Type I complete</w:t>
      </w:r>
      <w:r>
        <w:t xml:space="preserve"> </w:t>
      </w:r>
      <w:r>
        <w:t xml:space="preserve">- First exploratory conversations with regional payment vendors (POC, Pago, similar) about the UCP-for-payments extension</w:t>
      </w:r>
    </w:p>
    <w:p>
      <w:pPr>
        <w:pStyle w:val="BodyText"/>
      </w:pPr>
      <w:r>
        <w:rPr>
          <w:b/>
        </w:rPr>
        <w:t xml:space="preserve">Year 2 (2027–2028):</w:t>
      </w:r>
      <w:r>
        <w:t xml:space="preserve"> </w:t>
      </w:r>
      <w:r>
        <w:t xml:space="preserve">- 500+ paying SaaS merchants + 5 enterprise contracts</w:t>
      </w:r>
      <w:r>
        <w:t xml:space="preserve"> </w:t>
      </w:r>
      <w:r>
        <w:t xml:space="preserve">- WooCommerce, BigCommerce, Amazon SP-API integrations live</w:t>
      </w:r>
      <w:r>
        <w:t xml:space="preserve"> </w:t>
      </w:r>
      <w:r>
        <w:t xml:space="preserve">- €2.5M+ ARR</w:t>
      </w:r>
      <w:r>
        <w:t xml:space="preserve"> </w:t>
      </w:r>
      <w:r>
        <w:t xml:space="preserve">- First UCP-for-payments pilot live with one regional vendor — proof of concept that AI agents can be made to check out through a non-Visa/non-Mastercard rail</w:t>
      </w:r>
      <w:r>
        <w:t xml:space="preserve"> </w:t>
      </w:r>
      <w:r>
        <w:t xml:space="preserve">- Series A closed (~€5M US lead)</w:t>
      </w:r>
    </w:p>
    <w:p>
      <w:pPr>
        <w:pStyle w:val="BodyText"/>
      </w:pPr>
      <w:r>
        <w:rPr>
          <w:b/>
        </w:rPr>
        <w:t xml:space="preserve">Year 3 (2028–2029):</w:t>
      </w:r>
      <w:r>
        <w:t xml:space="preserve"> </w:t>
      </w:r>
      <w:r>
        <w:t xml:space="preserve">- 2,000+ merchants, 20+ enterprise contracts</w:t>
      </w:r>
      <w:r>
        <w:t xml:space="preserve"> </w:t>
      </w:r>
      <w:r>
        <w:t xml:space="preserve">- 5+ regional payment vendors live on UCP-for-payments</w:t>
      </w:r>
      <w:r>
        <w:t xml:space="preserve"> </w:t>
      </w:r>
      <w:r>
        <w:t xml:space="preserve">- €10M+ ARR</w:t>
      </w:r>
      <w:r>
        <w:t xml:space="preserve"> </w:t>
      </w:r>
      <w:r>
        <w:t xml:space="preserve">- Co-published quarterly</w:t>
      </w:r>
      <w:r>
        <w:t xml:space="preserve"> </w:t>
      </w:r>
      <w:r>
        <w:t xml:space="preserve">“</w:t>
      </w:r>
      <w:r>
        <w:t xml:space="preserve">State of Agent Commerce</w:t>
      </w:r>
      <w:r>
        <w:t xml:space="preserve">”</w:t>
      </w:r>
      <w:r>
        <w:t xml:space="preserve"> </w:t>
      </w:r>
      <w:r>
        <w:t xml:space="preserve">report becomes a reference document for the category</w:t>
      </w:r>
      <w:r>
        <w:t xml:space="preserve"> </w:t>
      </w:r>
      <w:r>
        <w:t xml:space="preserve">- Profitable at the gross-margin line</w:t>
      </w:r>
    </w:p>
    <w:p>
      <w:r>
        <w:pict>
          <v:rect style="width:0;height:1.5pt" o:hralign="center" o:hrstd="t" o:hr="t"/>
        </w:pict>
      </w:r>
    </w:p>
    <w:p>
      <w:pPr>
        <w:pStyle w:val="Heading2"/>
      </w:pPr>
      <w:bookmarkStart w:id="25" w:name="five-year-horizon-2026-2031"/>
      <w:r>
        <w:t xml:space="preserve">Five-year horizon (2026 → 2031)</w:t>
      </w:r>
      <w:bookmarkEnd w:id="25"/>
    </w:p>
    <w:p>
      <w:pPr>
        <w:pStyle w:val="FirstParagraph"/>
      </w:pPr>
      <w:r>
        <w:t xml:space="preserve">The product expands from optimisation to</w:t>
      </w:r>
      <w:r>
        <w:t xml:space="preserve"> </w:t>
      </w:r>
      <w:r>
        <w:rPr>
          <w:b/>
        </w:rPr>
        <w:t xml:space="preserve">the commerce protocol layer itself</w:t>
      </w:r>
      <w:r>
        <w:t xml:space="preserve">.</w:t>
      </w:r>
    </w:p>
    <w:p>
      <w:pPr>
        <w:numPr>
          <w:ilvl w:val="0"/>
          <w:numId w:val="1002"/>
        </w:numPr>
        <w:pStyle w:val="Compact"/>
      </w:pPr>
      <w:r>
        <w:rPr>
          <w:b/>
        </w:rPr>
        <w:t xml:space="preserve">Beyond Shopify and Woo:</w:t>
      </w:r>
      <w:r>
        <w:t xml:space="preserve"> </w:t>
      </w:r>
      <w:r>
        <w:t xml:space="preserve">native integrations across every major commerce platform (BigCommerce, Adobe Commerce, Salesforce Commerce Cloud, Magento, Wix, Squarespace).</w:t>
      </w:r>
    </w:p>
    <w:p>
      <w:pPr>
        <w:numPr>
          <w:ilvl w:val="0"/>
          <w:numId w:val="1002"/>
        </w:numPr>
        <w:pStyle w:val="Compact"/>
      </w:pPr>
      <w:r>
        <w:rPr>
          <w:b/>
        </w:rPr>
        <w:t xml:space="preserve">Beyond merchants to brands and manufacturers:</w:t>
      </w:r>
      <w:r>
        <w:t xml:space="preserve"> </w:t>
      </w:r>
      <w:r>
        <w:t xml:space="preserve">the same simulation + optimisation engine helps brands decide how to price, position, and bundle SKUs across distribution.</w:t>
      </w:r>
    </w:p>
    <w:p>
      <w:pPr>
        <w:numPr>
          <w:ilvl w:val="0"/>
          <w:numId w:val="1002"/>
        </w:numPr>
        <w:pStyle w:val="Compact"/>
      </w:pPr>
      <w:r>
        <w:rPr>
          <w:b/>
        </w:rPr>
        <w:t xml:space="preserve">Beyond Visa/Mastercard to the full payment vendor ecosystem:</w:t>
      </w:r>
      <w:r>
        <w:t xml:space="preserve"> </w:t>
      </w:r>
      <w:r>
        <w:t xml:space="preserve">regional and emerging-market processors made agent-readable through écentic. We become the canonical bridge between the global agent commerce protocol set (UCP, ACP, TAP, Agent Pay) and the long tail of payment infrastructure.</w:t>
      </w:r>
    </w:p>
    <w:p>
      <w:pPr>
        <w:pStyle w:val="FirstParagraph"/>
      </w:pPr>
      <w:r>
        <w:t xml:space="preserve">By 2031: ~5,000 mid-market merchants on subscription, ~100 enterprise contracts, 30+ payment vendors integrated, ~€50M ARR. The dataset (agent buying behaviour × merchant inventory × payment method preference, across thousands of merchants and dozens of payment vendors) becomes a commercial asset licensed to payment networks, ad platforms, and platform companies.</w:t>
      </w:r>
    </w:p>
    <w:p>
      <w:r>
        <w:pict>
          <v:rect style="width:0;height:1.5pt" o:hralign="center" o:hrstd="t" o:hr="t"/>
        </w:pict>
      </w:r>
    </w:p>
    <w:p>
      <w:pPr>
        <w:pStyle w:val="Heading2"/>
      </w:pPr>
      <w:bookmarkStart w:id="26" w:name="ten-year-horizon-2026-2036"/>
      <w:r>
        <w:t xml:space="preserve">Ten-year horizon (2026 → 2036)</w:t>
      </w:r>
      <w:bookmarkEnd w:id="26"/>
    </w:p>
    <w:p>
      <w:pPr>
        <w:pStyle w:val="FirstParagraph"/>
      </w:pPr>
      <w:r>
        <w:t xml:space="preserve">By 2036, most commerce is mediated by personal AI agents. The browser tab is a residual interface used for confirmation, not discovery. Two layers of infrastructure determine who survives: the</w:t>
      </w:r>
      <w:r>
        <w:t xml:space="preserve"> </w:t>
      </w:r>
      <w:r>
        <w:rPr>
          <w:b/>
        </w:rPr>
        <w:t xml:space="preserve">transaction rails</w:t>
      </w:r>
      <w:r>
        <w:t xml:space="preserve"> </w:t>
      </w:r>
      <w:r>
        <w:t xml:space="preserve">(Visa, Mastercard, OpenAI checkout, Google) and the</w:t>
      </w:r>
      <w:r>
        <w:t xml:space="preserve"> </w:t>
      </w:r>
      <w:r>
        <w:rPr>
          <w:b/>
        </w:rPr>
        <w:t xml:space="preserve">optimisation + trust layer</w:t>
      </w:r>
      <w:r>
        <w:t xml:space="preserve"> </w:t>
      </w:r>
      <w:r>
        <w:t xml:space="preserve">that decides which merchants and which payment methods agents recommend, recognise, and transact through.</w:t>
      </w:r>
    </w:p>
    <w:p>
      <w:pPr>
        <w:pStyle w:val="BodyText"/>
      </w:pPr>
      <w:r>
        <w:t xml:space="preserve">écentic’s ambition is to be the dominant independent player in that optimisation + trust layer — the Datadog of agent commerce. Independent from any single platform, agent provider, or payment network. Working</w:t>
      </w:r>
      <w:r>
        <w:t xml:space="preserve"> </w:t>
      </w:r>
      <w:r>
        <w:rPr>
          <w:i/>
        </w:rPr>
        <w:t xml:space="preserve">for</w:t>
      </w:r>
      <w:r>
        <w:t xml:space="preserve"> </w:t>
      </w:r>
      <w:r>
        <w:t xml:space="preserve">the merchant ecosystem and the regional payment ecosystem against the convenience-default of</w:t>
      </w:r>
      <w:r>
        <w:t xml:space="preserve"> </w:t>
      </w:r>
      <w:r>
        <w:t xml:space="preserve">“</w:t>
      </w:r>
      <w:r>
        <w:t xml:space="preserve">just use Visa.</w:t>
      </w:r>
      <w:r>
        <w:t xml:space="preserve">”</w:t>
      </w:r>
      <w:r>
        <w:t xml:space="preserve"> </w:t>
      </w:r>
      <w:r>
        <w:t xml:space="preserve">Operating the dataset nobody else has.</w:t>
      </w:r>
    </w:p>
    <w:p>
      <w:pPr>
        <w:pStyle w:val="BodyText"/>
      </w:pPr>
      <w:r>
        <w:t xml:space="preserve">The closest historical parallel is the SEO/SEM industry between 2000 and 2010. We are positioned to play the equivalent role in 2026–2036 — across both the merchant and the payment surfaces.</w:t>
      </w:r>
    </w:p>
    <w:p>
      <w:r>
        <w:pict>
          <v:rect style="width:0;height:1.5pt" o:hralign="center" o:hrstd="t" o:hr="t"/>
        </w:pict>
      </w:r>
    </w:p>
    <w:p>
      <w:pPr>
        <w:pStyle w:val="Heading2"/>
      </w:pPr>
      <w:bookmarkStart w:id="27" w:name="what-success-looks-like-at-each-horizon"/>
      <w:r>
        <w:t xml:space="preserve">What success looks like at each horizon</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Customers</w:t>
            </w:r>
          </w:p>
        </w:tc>
        <w:tc>
          <w:tcPr>
            <w:tcBorders>
              <w:bottom w:val="single"/>
            </w:tcBorders>
            <w:vAlign w:val="bottom"/>
          </w:tcPr>
          <w:p>
            <w:pPr>
              <w:pStyle w:val="Compact"/>
              <w:jc w:val="left"/>
            </w:pPr>
            <w:r>
              <w:t xml:space="preserve">Payment vendors integrated</w:t>
            </w:r>
          </w:p>
        </w:tc>
        <w:tc>
          <w:tcPr>
            <w:tcBorders>
              <w:bottom w:val="single"/>
            </w:tcBorders>
            <w:vAlign w:val="bottom"/>
          </w:tcPr>
          <w:p>
            <w:pPr>
              <w:pStyle w:val="Compact"/>
              <w:jc w:val="left"/>
            </w:pPr>
            <w:r>
              <w:t xml:space="preserve">Defining narrative</w:t>
            </w:r>
          </w:p>
        </w:tc>
      </w:tr>
      <w:tr>
        <w:tc>
          <w:p>
            <w:pPr>
              <w:pStyle w:val="Compact"/>
              <w:jc w:val="left"/>
            </w:pPr>
            <w:r>
              <w:t xml:space="preserve">1 year</w:t>
            </w:r>
          </w:p>
        </w:tc>
        <w:tc>
          <w:p>
            <w:pPr>
              <w:pStyle w:val="Compact"/>
              <w:jc w:val="left"/>
            </w:pPr>
            <w:r>
              <w:t xml:space="preserve">€450K ARR</w:t>
            </w:r>
          </w:p>
        </w:tc>
        <w:tc>
          <w:p>
            <w:pPr>
              <w:pStyle w:val="Compact"/>
              <w:jc w:val="left"/>
            </w:pPr>
            <w:r>
              <w:t xml:space="preserve">100–150 merchants + 1 enterprise</w:t>
            </w:r>
          </w:p>
        </w:tc>
        <w:tc>
          <w:p>
            <w:pPr>
              <w:pStyle w:val="Compact"/>
              <w:jc w:val="left"/>
            </w:pPr>
            <w:r>
              <w:t xml:space="preserve">0 (exploratory only)</w:t>
            </w:r>
          </w:p>
        </w:tc>
        <w:tc>
          <w:p>
            <w:pPr>
              <w:pStyle w:val="Compact"/>
              <w:jc w:val="left"/>
            </w:pPr>
            <w:r>
              <w:t xml:space="preserve">“</w:t>
            </w:r>
            <w:r>
              <w:t xml:space="preserve">Live with paying customers and an enterprise contract</w:t>
            </w:r>
            <w:r>
              <w:t xml:space="preserve">”</w:t>
            </w:r>
          </w:p>
        </w:tc>
      </w:tr>
      <w:tr>
        <w:tc>
          <w:p>
            <w:pPr>
              <w:pStyle w:val="Compact"/>
              <w:jc w:val="left"/>
            </w:pPr>
            <w:r>
              <w:t xml:space="preserve">3 years</w:t>
            </w:r>
          </w:p>
        </w:tc>
        <w:tc>
          <w:p>
            <w:pPr>
              <w:pStyle w:val="Compact"/>
              <w:jc w:val="left"/>
            </w:pPr>
            <w:r>
              <w:t xml:space="preserve">€10M ARR</w:t>
            </w:r>
          </w:p>
        </w:tc>
        <w:tc>
          <w:p>
            <w:pPr>
              <w:pStyle w:val="Compact"/>
              <w:jc w:val="left"/>
            </w:pPr>
            <w:r>
              <w:t xml:space="preserve">2,000 merchants + 20 enterprise</w:t>
            </w:r>
          </w:p>
        </w:tc>
        <w:tc>
          <w:p>
            <w:pPr>
              <w:pStyle w:val="Compact"/>
              <w:jc w:val="left"/>
            </w:pPr>
            <w:r>
              <w:t xml:space="preserve">5+ regional vendors</w:t>
            </w:r>
          </w:p>
        </w:tc>
        <w:tc>
          <w:p>
            <w:pPr>
              <w:pStyle w:val="Compact"/>
              <w:jc w:val="left"/>
            </w:pPr>
            <w:r>
              <w:t xml:space="preserve">“</w:t>
            </w:r>
            <w:r>
              <w:t xml:space="preserve">The optimisation layer for agent commerce, both sides of the transaction</w:t>
            </w:r>
            <w:r>
              <w:t xml:space="preserve">”</w:t>
            </w:r>
          </w:p>
        </w:tc>
      </w:tr>
      <w:tr>
        <w:tc>
          <w:p>
            <w:pPr>
              <w:pStyle w:val="Compact"/>
              <w:jc w:val="left"/>
            </w:pPr>
            <w:r>
              <w:t xml:space="preserve">5 years</w:t>
            </w:r>
          </w:p>
        </w:tc>
        <w:tc>
          <w:p>
            <w:pPr>
              <w:pStyle w:val="Compact"/>
              <w:jc w:val="left"/>
            </w:pPr>
            <w:r>
              <w:t xml:space="preserve">€50M ARR</w:t>
            </w:r>
          </w:p>
        </w:tc>
        <w:tc>
          <w:p>
            <w:pPr>
              <w:pStyle w:val="Compact"/>
              <w:jc w:val="left"/>
            </w:pPr>
            <w:r>
              <w:t xml:space="preserve">5,000 merchants + 100 enterprise</w:t>
            </w:r>
          </w:p>
        </w:tc>
        <w:tc>
          <w:p>
            <w:pPr>
              <w:pStyle w:val="Compact"/>
              <w:jc w:val="left"/>
            </w:pPr>
            <w:r>
              <w:t xml:space="preserve">30+ vendors globally</w:t>
            </w:r>
          </w:p>
        </w:tc>
        <w:tc>
          <w:p>
            <w:pPr>
              <w:pStyle w:val="Compact"/>
              <w:jc w:val="left"/>
            </w:pPr>
            <w:r>
              <w:t xml:space="preserve">“</w:t>
            </w:r>
            <w:r>
              <w:t xml:space="preserve">Independent infrastructure for the agent commerce economy</w:t>
            </w:r>
            <w:r>
              <w:t xml:space="preserve">”</w:t>
            </w:r>
          </w:p>
        </w:tc>
      </w:tr>
      <w:tr>
        <w:tc>
          <w:p>
            <w:pPr>
              <w:pStyle w:val="Compact"/>
              <w:jc w:val="left"/>
            </w:pPr>
            <w:r>
              <w:t xml:space="preserve">10 years</w:t>
            </w:r>
          </w:p>
        </w:tc>
        <w:tc>
          <w:p>
            <w:pPr>
              <w:pStyle w:val="Compact"/>
              <w:jc w:val="left"/>
            </w:pPr>
            <w:r>
              <w:t xml:space="preserve">Public-company candidate</w:t>
            </w:r>
          </w:p>
        </w:tc>
        <w:tc>
          <w:p>
            <w:pPr>
              <w:pStyle w:val="Compact"/>
              <w:jc w:val="left"/>
            </w:pPr>
            <w:r>
              <w:t xml:space="preserve">The default for the long tail</w:t>
            </w:r>
          </w:p>
        </w:tc>
        <w:tc>
          <w:p>
            <w:pPr>
              <w:pStyle w:val="Compact"/>
              <w:jc w:val="left"/>
            </w:pPr>
            <w:r>
              <w:t xml:space="preserve">The canonical bridge to non-card rails</w:t>
            </w:r>
          </w:p>
        </w:tc>
        <w:tc>
          <w:p>
            <w:pPr>
              <w:pStyle w:val="Compact"/>
              <w:jc w:val="left"/>
            </w:pPr>
            <w:r>
              <w:t xml:space="preserve">“</w:t>
            </w:r>
            <w:r>
              <w:t xml:space="preserve">What Datadog is to observability, écentic is to agent commerce</w:t>
            </w:r>
            <w:r>
              <w:t xml:space="preserve">”</w:t>
            </w:r>
          </w:p>
        </w:tc>
      </w:tr>
    </w:tbl>
    <w:p>
      <w:r>
        <w:pict>
          <v:rect style="width:0;height:1.5pt" o:hralign="center" o:hrstd="t" o:hr="t"/>
        </w:pict>
      </w:r>
    </w:p>
    <w:p>
      <w:pPr>
        <w:pStyle w:val="Heading2"/>
      </w:pPr>
      <w:bookmarkStart w:id="28" w:name="what-we-will-refuse-to-do"/>
      <w:r>
        <w:t xml:space="preserve">What we will refuse to do</w:t>
      </w:r>
      <w:bookmarkEnd w:id="28"/>
    </w:p>
    <w:p>
      <w:pPr>
        <w:numPr>
          <w:ilvl w:val="0"/>
          <w:numId w:val="1003"/>
        </w:numPr>
        <w:pStyle w:val="Compact"/>
      </w:pPr>
      <w:r>
        <w:rPr>
          <w:b/>
        </w:rPr>
        <w:t xml:space="preserve">Become an AI shopping agent ourselves.</w:t>
      </w:r>
      <w:r>
        <w:t xml:space="preserve"> </w:t>
      </w:r>
      <w:r>
        <w:t xml:space="preserve">Building consumer-facing AI shopping agents puts us in competition with our distribution partners (OpenAI, Google, Anthropic). We are infrastructure, not destination.</w:t>
      </w:r>
    </w:p>
    <w:p>
      <w:pPr>
        <w:numPr>
          <w:ilvl w:val="0"/>
          <w:numId w:val="1003"/>
        </w:numPr>
        <w:pStyle w:val="Compact"/>
      </w:pPr>
      <w:r>
        <w:rPr>
          <w:b/>
        </w:rPr>
        <w:t xml:space="preserve">Build a marketplace.</w:t>
      </w:r>
      <w:r>
        <w:t xml:space="preserve"> </w:t>
      </w:r>
      <w:r>
        <w:t xml:space="preserve">Marketplaces compete with our merchant customers. Wrong side of the table.</w:t>
      </w:r>
    </w:p>
    <w:p>
      <w:pPr>
        <w:numPr>
          <w:ilvl w:val="0"/>
          <w:numId w:val="1003"/>
        </w:numPr>
        <w:pStyle w:val="Compact"/>
      </w:pPr>
      <w:r>
        <w:rPr>
          <w:b/>
        </w:rPr>
        <w:t xml:space="preserve">Charge AI agents for placement.</w:t>
      </w:r>
      <w:r>
        <w:t xml:space="preserve"> </w:t>
      </w:r>
      <w:r>
        <w:t xml:space="preserve">Inverts our value proposition. Merchants and payment vendors pay us, not the other way around.</w:t>
      </w:r>
    </w:p>
    <w:p>
      <w:pPr>
        <w:numPr>
          <w:ilvl w:val="0"/>
          <w:numId w:val="1003"/>
        </w:numPr>
        <w:pStyle w:val="Compact"/>
      </w:pPr>
      <w:r>
        <w:rPr>
          <w:b/>
        </w:rPr>
        <w:t xml:space="preserve">Pick winners between payment vendors.</w:t>
      </w:r>
      <w:r>
        <w:t xml:space="preserve"> </w:t>
      </w:r>
      <w:r>
        <w:t xml:space="preserve">Our position is to make every regional vendor agent-readable — not to grade them. The agent decides; we expose the data.</w:t>
      </w:r>
    </w:p>
    <w:p>
      <w:pPr>
        <w:numPr>
          <w:ilvl w:val="0"/>
          <w:numId w:val="1003"/>
        </w:numPr>
        <w:pStyle w:val="Compact"/>
      </w:pPr>
      <w:r>
        <w:rPr>
          <w:b/>
        </w:rPr>
        <w:t xml:space="preserve">Manipulate agent ranking with bad-faith content.</w:t>
      </w:r>
      <w:r>
        <w:t xml:space="preserve"> </w:t>
      </w:r>
      <w:r>
        <w:t xml:space="preserve">The minute we ship</w:t>
      </w:r>
      <w:r>
        <w:t xml:space="preserve"> </w:t>
      </w:r>
      <w:r>
        <w:t xml:space="preserve">“</w:t>
      </w:r>
      <w:r>
        <w:t xml:space="preserve">agent-spam</w:t>
      </w:r>
      <w:r>
        <w:t xml:space="preserve">”</w:t>
      </w:r>
      <w:r>
        <w:t xml:space="preserve"> </w:t>
      </w:r>
      <w:r>
        <w:t xml:space="preserve">optimisation, we lose the trust of both the platforms and the regulators that follow them. We optimise the underlying signal, not gaming.</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2026-06-11T12:44:33Z</dcterms:created>
  <dcterms:modified xsi:type="dcterms:W3CDTF">2026-06-11T12:44:33Z</dcterms:modified>
</cp:coreProperties>
</file>

<file path=docProps/custom.xml><?xml version="1.0" encoding="utf-8"?>
<Properties xmlns="http://schemas.openxmlformats.org/officeDocument/2006/custom-properties" xmlns:vt="http://schemas.openxmlformats.org/officeDocument/2006/docPropsVTypes"/>
</file>