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xml" ContentType="application/vnd.openxmlformats-officedocument.wordprocessingml.header+xml"/>
  <Override PartName="/word/footer.xml" ContentType="application/vnd.openxmlformats-officedocument.wordprocessingml.footer+xml"/>
  <Default Extension="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ylaws-statute-summary"/>
      <w:r>
        <w:t xml:space="preserve">Bylaws / Statute — Summary</w:t>
      </w:r>
      <w:bookmarkEnd w:id="20"/>
    </w:p>
    <w:p>
      <w:pPr>
        <w:pStyle w:val="FirstParagraph"/>
      </w:pPr>
      <w:r>
        <w:rPr>
          <w:b/>
        </w:rPr>
        <w:t xml:space="preserve">Last updated:</w:t>
      </w:r>
      <w:r>
        <w:t xml:space="preserve"> </w:t>
      </w:r>
      <w:r>
        <w:t xml:space="preserve">2026-06-02</w:t>
      </w:r>
      <w:r>
        <w:t xml:space="preserve"> </w:t>
      </w:r>
      <w:r>
        <w:rPr>
          <w:b/>
        </w:rPr>
        <w:t xml:space="preserve">Status:</w:t>
      </w:r>
      <w:r>
        <w:t xml:space="preserve"> </w:t>
      </w:r>
      <w:r>
        <w:t xml:space="preserve">Standard Albanian SHPK statute (placeholder — actual signed statute attached upon QKB registration)</w:t>
      </w:r>
    </w:p>
    <w:p>
      <w:pPr>
        <w:pStyle w:val="BodyText"/>
      </w:pPr>
      <w:r>
        <w:t xml:space="preserve">This document summarises the bylaws (Statute / Statuti) of écentic shpk in plain English. The fully executed Albanian-language statute is the binding legal document and will be attached to this folder once registered at the Albanian National Business Centre (Qendra Kombëtare e Biznesit, QKB).</w:t>
      </w:r>
    </w:p>
    <w:p>
      <w:r>
        <w:pict>
          <v:rect style="width:0;height:1.5pt" o:hralign="center" o:hrstd="t" o:hr="t"/>
        </w:pict>
      </w:r>
    </w:p>
    <w:p>
      <w:pPr>
        <w:pStyle w:val="Heading2"/>
      </w:pPr>
      <w:bookmarkStart w:id="21" w:name="form-name-registered-office"/>
      <w:r>
        <w:t xml:space="preserve">1. Form, name, registered office</w:t>
      </w:r>
      <w:bookmarkEnd w:id="21"/>
    </w:p>
    <w:tbl>
      <w:tblPr>
        <w:tblStyle w:val="Table"/>
        <w:tblW w:type="pct" w:w="5000.0"/>
        <w:tblLook w:firstRow="0"/>
      </w:tblPr>
      <w:tblGrid>
        <w:gridCol w:w="3960"/>
        <w:gridCol w:w="3960"/>
      </w:tblGrid>
      <w:tr>
        <w:tc>
          <w:p>
            <w:pPr>
              <w:pStyle w:val="Compact"/>
              <w:jc w:val="left"/>
            </w:pPr>
            <w:r>
              <w:rPr>
                <w:b/>
              </w:rPr>
              <w:t xml:space="preserve">Legal form</w:t>
            </w:r>
          </w:p>
        </w:tc>
        <w:tc>
          <w:p>
            <w:pPr>
              <w:pStyle w:val="Compact"/>
              <w:jc w:val="left"/>
            </w:pPr>
            <w:r>
              <w:t xml:space="preserve">Shoqëri me Përgjegjësi të Kufizuar (SHPK) — limited liability company</w:t>
            </w:r>
          </w:p>
        </w:tc>
      </w:tr>
      <w:tr>
        <w:tc>
          <w:p>
            <w:pPr>
              <w:pStyle w:val="Compact"/>
              <w:jc w:val="left"/>
            </w:pPr>
            <w:r>
              <w:rPr>
                <w:b/>
              </w:rPr>
              <w:t xml:space="preserve">Legal name</w:t>
            </w:r>
          </w:p>
        </w:tc>
        <w:tc>
          <w:p>
            <w:pPr>
              <w:pStyle w:val="Compact"/>
              <w:jc w:val="left"/>
            </w:pPr>
            <w:r>
              <w:t xml:space="preserve">écentic shpk</w:t>
            </w:r>
          </w:p>
        </w:tc>
      </w:tr>
      <w:tr>
        <w:tc>
          <w:p>
            <w:pPr>
              <w:pStyle w:val="Compact"/>
              <w:jc w:val="left"/>
            </w:pPr>
            <w:r>
              <w:rPr>
                <w:b/>
              </w:rPr>
              <w:t xml:space="preserve">Trading name</w:t>
            </w:r>
          </w:p>
        </w:tc>
        <w:tc>
          <w:p>
            <w:pPr>
              <w:pStyle w:val="Compact"/>
              <w:jc w:val="left"/>
            </w:pPr>
            <w:r>
              <w:t xml:space="preserve">écentic</w:t>
            </w:r>
          </w:p>
        </w:tc>
      </w:tr>
      <w:tr>
        <w:tc>
          <w:p>
            <w:pPr>
              <w:pStyle w:val="Compact"/>
              <w:jc w:val="left"/>
            </w:pPr>
            <w:r>
              <w:rPr>
                <w:b/>
              </w:rPr>
              <w:t xml:space="preserve">Registered office</w:t>
            </w:r>
          </w:p>
        </w:tc>
        <w:tc>
          <w:p>
            <w:pPr>
              <w:pStyle w:val="Compact"/>
              <w:jc w:val="left"/>
            </w:pPr>
            <w:r>
              <w:t xml:space="preserve">[TO CONFIRM upon QKB registration] — Tirana, Albania</w:t>
            </w:r>
          </w:p>
        </w:tc>
      </w:tr>
      <w:tr>
        <w:tc>
          <w:p>
            <w:pPr>
              <w:pStyle w:val="Compact"/>
              <w:jc w:val="left"/>
            </w:pPr>
            <w:r>
              <w:rPr>
                <w:b/>
              </w:rPr>
              <w:t xml:space="preserve">NIPT (tax ID)</w:t>
            </w:r>
          </w:p>
        </w:tc>
        <w:tc>
          <w:p>
            <w:pPr>
              <w:pStyle w:val="Compact"/>
              <w:jc w:val="left"/>
            </w:pPr>
            <w:r>
              <w:t xml:space="preserve">[TO CONFIRM upon QKB registration]</w:t>
            </w:r>
          </w:p>
        </w:tc>
      </w:tr>
      <w:tr>
        <w:tc>
          <w:p>
            <w:pPr>
              <w:pStyle w:val="Compact"/>
              <w:jc w:val="left"/>
            </w:pPr>
            <w:r>
              <w:rPr>
                <w:b/>
              </w:rPr>
              <w:t xml:space="preserve">Governing law</w:t>
            </w:r>
          </w:p>
        </w:tc>
        <w:tc>
          <w:p>
            <w:pPr>
              <w:pStyle w:val="Compact"/>
              <w:jc w:val="left"/>
            </w:pPr>
            <w:r>
              <w:t xml:space="preserve">Albanian Law No. 9901 dated 14 April 2008</w:t>
            </w:r>
            <w:r>
              <w:t xml:space="preserve"> </w:t>
            </w:r>
            <w:r>
              <w:t xml:space="preserve">“</w:t>
            </w:r>
            <w:r>
              <w:t xml:space="preserve">On Entrepreneurs and Commercial Companies</w:t>
            </w:r>
            <w:r>
              <w:t xml:space="preserve">”</w:t>
            </w:r>
            <w:r>
              <w:t xml:space="preserve"> </w:t>
            </w:r>
            <w:r>
              <w:t xml:space="preserve">(as amended)</w:t>
            </w:r>
          </w:p>
        </w:tc>
      </w:tr>
    </w:tbl>
    <w:p>
      <w:r>
        <w:pict>
          <v:rect style="width:0;height:1.5pt" o:hralign="center" o:hrstd="t" o:hr="t"/>
        </w:pict>
      </w:r>
    </w:p>
    <w:p>
      <w:pPr>
        <w:pStyle w:val="Heading2"/>
      </w:pPr>
      <w:bookmarkStart w:id="22" w:name="purpose"/>
      <w:r>
        <w:t xml:space="preserve">2. Purpose</w:t>
      </w:r>
      <w:bookmarkEnd w:id="22"/>
    </w:p>
    <w:p>
      <w:pPr>
        <w:pStyle w:val="FirstParagraph"/>
      </w:pPr>
      <w:r>
        <w:t xml:space="preserve">The Company’s object is the design, development, operation, and commercialisation of software, services, and data products in the agent commerce optimisation, AI-mediated merchant tooling, and related technology categories. The Company may conduct any activity ancillary to or supporting that primary purpose, subject to Albanian law.</w:t>
      </w:r>
    </w:p>
    <w:p>
      <w:r>
        <w:pict>
          <v:rect style="width:0;height:1.5pt" o:hralign="center" o:hrstd="t" o:hr="t"/>
        </w:pict>
      </w:r>
    </w:p>
    <w:p>
      <w:pPr>
        <w:pStyle w:val="Heading2"/>
      </w:pPr>
      <w:bookmarkStart w:id="23" w:name="share-capital"/>
      <w:r>
        <w:t xml:space="preserve">3. Share capital</w:t>
      </w:r>
      <w:bookmarkEnd w:id="23"/>
    </w:p>
    <w:tbl>
      <w:tblPr>
        <w:tblStyle w:val="Table"/>
        <w:tblW w:type="pct" w:w="5000.0"/>
        <w:tblLook w:firstRow="0"/>
      </w:tblPr>
      <w:tblGrid>
        <w:gridCol w:w="3960"/>
        <w:gridCol w:w="3960"/>
      </w:tblGrid>
      <w:tr>
        <w:tc>
          <w:p>
            <w:pPr>
              <w:pStyle w:val="Compact"/>
              <w:jc w:val="left"/>
            </w:pPr>
            <w:r>
              <w:rPr>
                <w:b/>
              </w:rPr>
              <w:t xml:space="preserve">Authorised share capital</w:t>
            </w:r>
          </w:p>
        </w:tc>
        <w:tc>
          <w:p>
            <w:pPr>
              <w:pStyle w:val="Compact"/>
              <w:jc w:val="left"/>
            </w:pPr>
            <w:r>
              <w:t xml:space="preserve">100,000 ALL (Albanian Lekë)</w:t>
            </w:r>
          </w:p>
        </w:tc>
      </w:tr>
      <w:tr>
        <w:tc>
          <w:p>
            <w:pPr>
              <w:pStyle w:val="Compact"/>
              <w:jc w:val="left"/>
            </w:pPr>
            <w:r>
              <w:rPr>
                <w:b/>
              </w:rPr>
              <w:t xml:space="preserve">Number of shares</w:t>
            </w:r>
          </w:p>
        </w:tc>
        <w:tc>
          <w:p>
            <w:pPr>
              <w:pStyle w:val="Compact"/>
              <w:jc w:val="left"/>
            </w:pPr>
            <w:r>
              <w:t xml:space="preserve">100,000 Common Shares (kuotat) of nominal value 1 ALL each</w:t>
            </w:r>
          </w:p>
        </w:tc>
      </w:tr>
      <w:tr>
        <w:tc>
          <w:p>
            <w:pPr>
              <w:pStyle w:val="Compact"/>
              <w:jc w:val="left"/>
            </w:pPr>
            <w:r>
              <w:rPr>
                <w:b/>
              </w:rPr>
              <w:t xml:space="preserve">Currency</w:t>
            </w:r>
          </w:p>
        </w:tc>
        <w:tc>
          <w:p>
            <w:pPr>
              <w:pStyle w:val="Compact"/>
              <w:jc w:val="left"/>
            </w:pPr>
            <w:r>
              <w:t xml:space="preserve">ALL (Albanian Lekë), with reference to EUR for commercial purposes</w:t>
            </w:r>
          </w:p>
        </w:tc>
      </w:tr>
      <w:tr>
        <w:tc>
          <w:p>
            <w:pPr>
              <w:pStyle w:val="Compact"/>
              <w:jc w:val="left"/>
            </w:pPr>
            <w:r>
              <w:rPr>
                <w:b/>
              </w:rPr>
              <w:t xml:space="preserve">Issuance</w:t>
            </w:r>
          </w:p>
        </w:tc>
        <w:tc>
          <w:p>
            <w:pPr>
              <w:pStyle w:val="Compact"/>
              <w:jc w:val="left"/>
            </w:pPr>
            <w:r>
              <w:t xml:space="preserve">All 100,000 shares issued and allocated to the Founders on incorporation (see Section 4)</w:t>
            </w:r>
          </w:p>
        </w:tc>
      </w:tr>
      <w:tr>
        <w:tc>
          <w:p>
            <w:pPr>
              <w:pStyle w:val="Compact"/>
              <w:jc w:val="left"/>
            </w:pPr>
            <w:r>
              <w:rPr>
                <w:b/>
              </w:rPr>
              <w:t xml:space="preserve">Option Pool reservation</w:t>
            </w:r>
          </w:p>
        </w:tc>
        <w:tc>
          <w:p>
            <w:pPr>
              <w:pStyle w:val="Compact"/>
              <w:jc w:val="left"/>
            </w:pPr>
            <w:r>
              <w:t xml:space="preserve">Additional 11,111 shares reserved for the Employee Stock Option Plan (equivalent to ~10% of fully diluted capital). Share capital is increased by shareholder resolution upon each Option exercise.</w:t>
            </w:r>
          </w:p>
        </w:tc>
      </w:tr>
    </w:tbl>
    <w:p>
      <w:r>
        <w:pict>
          <v:rect style="width:0;height:1.5pt" o:hralign="center" o:hrstd="t" o:hr="t"/>
        </w:pict>
      </w:r>
    </w:p>
    <w:p>
      <w:pPr>
        <w:pStyle w:val="Heading2"/>
      </w:pPr>
      <w:bookmarkStart w:id="24" w:name="shareholders"/>
      <w:r>
        <w:t xml:space="preserve">4. Shareholders</w:t>
      </w:r>
      <w:bookmarkEnd w:id="24"/>
    </w:p>
    <w:p>
      <w:pPr>
        <w:pStyle w:val="FirstParagraph"/>
      </w:pPr>
      <w:r>
        <w:t xml:space="preserve">Initial shareholders, per the Shareholders Agreement: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Shareholder</w:t>
            </w:r>
          </w:p>
        </w:tc>
        <w:tc>
          <w:tcPr>
            <w:tcBorders>
              <w:bottom w:val="single"/>
            </w:tcBorders>
            <w:vAlign w:val="bottom"/>
          </w:tcPr>
          <w:p>
            <w:pPr>
              <w:pStyle w:val="Compact"/>
              <w:jc w:val="left"/>
            </w:pPr>
            <w:r>
              <w:t xml:space="preserve">Shares</w:t>
            </w:r>
          </w:p>
        </w:tc>
        <w:tc>
          <w:tcPr>
            <w:tcBorders>
              <w:bottom w:val="single"/>
            </w:tcBorders>
            <w:vAlign w:val="bottom"/>
          </w:tcPr>
          <w:p>
            <w:pPr>
              <w:pStyle w:val="Compact"/>
              <w:jc w:val="left"/>
            </w:pPr>
            <w:r>
              <w:t xml:space="preserve">% of issued</w:t>
            </w:r>
          </w:p>
        </w:tc>
      </w:tr>
      <w:tr>
        <w:tc>
          <w:p>
            <w:pPr>
              <w:pStyle w:val="Compact"/>
              <w:jc w:val="left"/>
            </w:pPr>
            <w:r>
              <w:t xml:space="preserve">Xhurian Shaba</w:t>
            </w:r>
          </w:p>
        </w:tc>
        <w:tc>
          <w:p>
            <w:pPr>
              <w:pStyle w:val="Compact"/>
              <w:jc w:val="left"/>
            </w:pPr>
            <w:r>
              <w:t xml:space="preserve">40,000</w:t>
            </w:r>
          </w:p>
        </w:tc>
        <w:tc>
          <w:p>
            <w:pPr>
              <w:pStyle w:val="Compact"/>
              <w:jc w:val="left"/>
            </w:pPr>
            <w:r>
              <w:t xml:space="preserve">40%</w:t>
            </w:r>
          </w:p>
        </w:tc>
      </w:tr>
      <w:tr>
        <w:tc>
          <w:p>
            <w:pPr>
              <w:pStyle w:val="Compact"/>
              <w:jc w:val="left"/>
            </w:pPr>
            <w:r>
              <w:t xml:space="preserve">Alvi Palloshi</w:t>
            </w:r>
          </w:p>
        </w:tc>
        <w:tc>
          <w:p>
            <w:pPr>
              <w:pStyle w:val="Compact"/>
              <w:jc w:val="left"/>
            </w:pPr>
            <w:r>
              <w:t xml:space="preserve">30,000</w:t>
            </w:r>
          </w:p>
        </w:tc>
        <w:tc>
          <w:p>
            <w:pPr>
              <w:pStyle w:val="Compact"/>
              <w:jc w:val="left"/>
            </w:pPr>
            <w:r>
              <w:t xml:space="preserve">30%</w:t>
            </w:r>
          </w:p>
        </w:tc>
      </w:tr>
      <w:tr>
        <w:tc>
          <w:p>
            <w:pPr>
              <w:pStyle w:val="Compact"/>
              <w:jc w:val="left"/>
            </w:pPr>
            <w:r>
              <w:t xml:space="preserve">Iseld Muça</w:t>
            </w:r>
          </w:p>
        </w:tc>
        <w:tc>
          <w:p>
            <w:pPr>
              <w:pStyle w:val="Compact"/>
              <w:jc w:val="left"/>
            </w:pPr>
            <w:r>
              <w:t xml:space="preserve">30,000</w:t>
            </w:r>
          </w:p>
        </w:tc>
        <w:tc>
          <w:p>
            <w:pPr>
              <w:pStyle w:val="Compact"/>
              <w:jc w:val="left"/>
            </w:pPr>
            <w:r>
              <w:t xml:space="preserve">30%</w:t>
            </w:r>
          </w:p>
        </w:tc>
      </w:tr>
      <w:tr>
        <w:tc>
          <w:p>
            <w:pPr>
              <w:pStyle w:val="Compact"/>
              <w:jc w:val="left"/>
            </w:pPr>
            <w:r>
              <w:rPr>
                <w:b/>
              </w:rPr>
              <w:t xml:space="preserve">Total</w:t>
            </w:r>
          </w:p>
        </w:tc>
        <w:tc>
          <w:p>
            <w:pPr>
              <w:pStyle w:val="Compact"/>
              <w:jc w:val="left"/>
            </w:pPr>
            <w:r>
              <w:rPr>
                <w:b/>
              </w:rPr>
              <w:t xml:space="preserve">100,000</w:t>
            </w:r>
          </w:p>
        </w:tc>
        <w:tc>
          <w:p>
            <w:pPr>
              <w:pStyle w:val="Compact"/>
              <w:jc w:val="left"/>
            </w:pPr>
            <w:r>
              <w:rPr>
                <w:b/>
              </w:rPr>
              <w:t xml:space="preserve">100%</w:t>
            </w:r>
          </w:p>
        </w:tc>
      </w:tr>
    </w:tbl>
    <w:p>
      <w:pPr>
        <w:pStyle w:val="BodyText"/>
      </w:pPr>
      <w:r>
        <w:t xml:space="preserve">Subsequent shareholders join by share issuance (with corresponding capital increase) or share transfer, subject to the transfer restrictions in the Shareholders Agreement (right of first refusal, tag-along, drag-along, etc.).</w:t>
      </w:r>
    </w:p>
    <w:p>
      <w:r>
        <w:pict>
          <v:rect style="width:0;height:1.5pt" o:hralign="center" o:hrstd="t" o:hr="t"/>
        </w:pict>
      </w:r>
    </w:p>
    <w:p>
      <w:pPr>
        <w:pStyle w:val="Heading2"/>
      </w:pPr>
      <w:bookmarkStart w:id="25" w:name="management"/>
      <w:r>
        <w:t xml:space="preserve">5. Management</w:t>
      </w:r>
      <w:bookmarkEnd w:id="25"/>
    </w:p>
    <w:p>
      <w:pPr>
        <w:pStyle w:val="Heading3"/>
      </w:pPr>
      <w:bookmarkStart w:id="26" w:name="board-of-directors-administratorët"/>
      <w:r>
        <w:t xml:space="preserve">5.1 Board of Directors (Administratorët)</w:t>
      </w:r>
      <w:bookmarkEnd w:id="26"/>
    </w:p>
    <w:tbl>
      <w:tblPr>
        <w:tblStyle w:val="Table"/>
        <w:tblW w:type="pct" w:w="5000.0"/>
        <w:tblLook w:firstRow="0"/>
      </w:tblPr>
      <w:tblGrid>
        <w:gridCol w:w="3960"/>
        <w:gridCol w:w="3960"/>
      </w:tblGrid>
      <w:tr>
        <w:tc>
          <w:p>
            <w:pPr>
              <w:pStyle w:val="Compact"/>
              <w:jc w:val="left"/>
            </w:pPr>
            <w:r>
              <w:rPr>
                <w:b/>
              </w:rPr>
              <w:t xml:space="preserve">Size</w:t>
            </w:r>
          </w:p>
        </w:tc>
        <w:tc>
          <w:p>
            <w:pPr>
              <w:pStyle w:val="Compact"/>
              <w:jc w:val="left"/>
            </w:pPr>
            <w:r>
              <w:t xml:space="preserve">Three (3) directors</w:t>
            </w:r>
          </w:p>
        </w:tc>
      </w:tr>
      <w:tr>
        <w:tc>
          <w:p>
            <w:pPr>
              <w:pStyle w:val="Compact"/>
              <w:jc w:val="left"/>
            </w:pPr>
            <w:r>
              <w:rPr>
                <w:b/>
              </w:rPr>
              <w:t xml:space="preserve">Composition</w:t>
            </w:r>
          </w:p>
        </w:tc>
        <w:tc>
          <w:p>
            <w:pPr>
              <w:pStyle w:val="Compact"/>
              <w:jc w:val="left"/>
            </w:pPr>
            <w:r>
              <w:t xml:space="preserve">Each Founder is a director; full names below</w:t>
            </w:r>
          </w:p>
        </w:tc>
      </w:tr>
      <w:tr>
        <w:tc>
          <w:p>
            <w:pPr>
              <w:pStyle w:val="Compact"/>
              <w:jc w:val="left"/>
            </w:pPr>
            <w:r>
              <w:rPr>
                <w:b/>
              </w:rPr>
              <w:t xml:space="preserve">Initial directors</w:t>
            </w:r>
          </w:p>
        </w:tc>
        <w:tc>
          <w:p>
            <w:pPr>
              <w:pStyle w:val="Compact"/>
              <w:jc w:val="left"/>
            </w:pPr>
            <w:r>
              <w:t xml:space="preserve">Xhurian Shaba (Chair / CEO), Alvi Palloshi, Iseld Muça</w:t>
            </w:r>
          </w:p>
        </w:tc>
      </w:tr>
      <w:tr>
        <w:tc>
          <w:p>
            <w:pPr>
              <w:pStyle w:val="Compact"/>
              <w:jc w:val="left"/>
            </w:pPr>
            <w:r>
              <w:rPr>
                <w:b/>
              </w:rPr>
              <w:t xml:space="preserve">Term</w:t>
            </w:r>
          </w:p>
        </w:tc>
        <w:tc>
          <w:p>
            <w:pPr>
              <w:pStyle w:val="Compact"/>
              <w:jc w:val="left"/>
            </w:pPr>
            <w:r>
              <w:t xml:space="preserve">Indefinite, subject to removal or resignation per the Shareholders Agreement</w:t>
            </w:r>
          </w:p>
        </w:tc>
      </w:tr>
      <w:tr>
        <w:tc>
          <w:p>
            <w:pPr>
              <w:pStyle w:val="Compact"/>
              <w:jc w:val="left"/>
            </w:pPr>
            <w:r>
              <w:rPr>
                <w:b/>
              </w:rPr>
              <w:t xml:space="preserve">Quorum</w:t>
            </w:r>
          </w:p>
        </w:tc>
        <w:tc>
          <w:p>
            <w:pPr>
              <w:pStyle w:val="Compact"/>
              <w:jc w:val="left"/>
            </w:pPr>
            <w:r>
              <w:t xml:space="preserve">A majority of directors in office</w:t>
            </w:r>
          </w:p>
        </w:tc>
      </w:tr>
      <w:tr>
        <w:tc>
          <w:p>
            <w:pPr>
              <w:pStyle w:val="Compact"/>
              <w:jc w:val="left"/>
            </w:pPr>
            <w:r>
              <w:rPr>
                <w:b/>
              </w:rPr>
              <w:t xml:space="preserve">Voting</w:t>
            </w:r>
          </w:p>
        </w:tc>
        <w:tc>
          <w:p>
            <w:pPr>
              <w:pStyle w:val="Compact"/>
              <w:jc w:val="left"/>
            </w:pPr>
            <w:r>
              <w:t xml:space="preserve">A majority of directors present and entitled to vote, except for Reserved Matters which require Shareholder approval at a specified threshold</w:t>
            </w:r>
          </w:p>
        </w:tc>
      </w:tr>
      <w:tr>
        <w:tc>
          <w:p>
            <w:pPr>
              <w:pStyle w:val="Compact"/>
              <w:jc w:val="left"/>
            </w:pPr>
            <w:r>
              <w:rPr>
                <w:b/>
              </w:rPr>
              <w:t xml:space="preserve">Meeting frequency</w:t>
            </w:r>
          </w:p>
        </w:tc>
        <w:tc>
          <w:p>
            <w:pPr>
              <w:pStyle w:val="Compact"/>
              <w:jc w:val="left"/>
            </w:pPr>
            <w:r>
              <w:t xml:space="preserve">Quarterly minimum; additional meetings as needed</w:t>
            </w:r>
          </w:p>
        </w:tc>
      </w:tr>
    </w:tbl>
    <w:p>
      <w:pPr>
        <w:pStyle w:val="Heading3"/>
      </w:pPr>
      <w:bookmarkStart w:id="27" w:name="ceo-and-signing-authority"/>
      <w:r>
        <w:t xml:space="preserve">5.2 CEO and signing authority</w:t>
      </w:r>
      <w:bookmarkEnd w:id="27"/>
    </w:p>
    <w:p>
      <w:pPr>
        <w:pStyle w:val="FirstParagraph"/>
      </w:pPr>
      <w:r>
        <w:t xml:space="preserve">The Chief Executive Officer (currently Xhurian Shaba) has the day-to-day management authority for the Company, including representation of the Company before third parties, banks, and authorities, subject to the limits set by the Board and the Reserved Matters list in the Shareholders Agreement.</w:t>
      </w:r>
    </w:p>
    <w:p>
      <w:pPr>
        <w:pStyle w:val="Heading3"/>
      </w:pPr>
      <w:bookmarkStart w:id="28" w:name="reserved-matters"/>
      <w:r>
        <w:t xml:space="preserve">5.3 Reserved Matters</w:t>
      </w:r>
      <w:bookmarkEnd w:id="28"/>
    </w:p>
    <w:p>
      <w:pPr>
        <w:pStyle w:val="FirstParagraph"/>
      </w:pPr>
      <w:r>
        <w:t xml:space="preserve">Certain decisions require Board or Shareholder approval at specified thresholds. These are listed in Section 4.4 of the Shareholders Agreement and summarised in the Board Meeting Minutes template document.</w:t>
      </w:r>
    </w:p>
    <w:p>
      <w:r>
        <w:pict>
          <v:rect style="width:0;height:1.5pt" o:hralign="center" o:hrstd="t" o:hr="t"/>
        </w:pict>
      </w:r>
    </w:p>
    <w:p>
      <w:pPr>
        <w:pStyle w:val="Heading2"/>
      </w:pPr>
      <w:bookmarkStart w:id="29" w:name="shareholder-meetings"/>
      <w:r>
        <w:t xml:space="preserve">6. Shareholder Meetings</w:t>
      </w:r>
      <w:bookmarkEnd w:id="29"/>
    </w:p>
    <w:tbl>
      <w:tblPr>
        <w:tblStyle w:val="Table"/>
        <w:tblW w:type="pct" w:w="5000.0"/>
        <w:tblLook w:firstRow="0"/>
      </w:tblPr>
      <w:tblGrid>
        <w:gridCol w:w="3960"/>
        <w:gridCol w:w="3960"/>
      </w:tblGrid>
      <w:tr>
        <w:tc>
          <w:p>
            <w:pPr>
              <w:pStyle w:val="Compact"/>
              <w:jc w:val="left"/>
            </w:pPr>
            <w:r>
              <w:rPr>
                <w:b/>
              </w:rPr>
              <w:t xml:space="preserve">Annual general meeting</w:t>
            </w:r>
          </w:p>
        </w:tc>
        <w:tc>
          <w:p>
            <w:pPr>
              <w:pStyle w:val="Compact"/>
              <w:jc w:val="left"/>
            </w:pPr>
            <w:r>
              <w:t xml:space="preserve">At least once per fiscal year, held within 4 months of fiscal year-end</w:t>
            </w:r>
          </w:p>
        </w:tc>
      </w:tr>
      <w:tr>
        <w:tc>
          <w:p>
            <w:pPr>
              <w:pStyle w:val="Compact"/>
              <w:jc w:val="left"/>
            </w:pPr>
            <w:r>
              <w:rPr>
                <w:b/>
              </w:rPr>
              <w:t xml:space="preserve">Special meetings</w:t>
            </w:r>
          </w:p>
        </w:tc>
        <w:tc>
          <w:p>
            <w:pPr>
              <w:pStyle w:val="Compact"/>
              <w:jc w:val="left"/>
            </w:pPr>
            <w:r>
              <w:t xml:space="preserve">Called at the request of any shareholder holding ≥ 10% of the share capital, or at the request of the Board</w:t>
            </w:r>
          </w:p>
        </w:tc>
      </w:tr>
      <w:tr>
        <w:tc>
          <w:p>
            <w:pPr>
              <w:pStyle w:val="Compact"/>
              <w:jc w:val="left"/>
            </w:pPr>
            <w:r>
              <w:rPr>
                <w:b/>
              </w:rPr>
              <w:t xml:space="preserve">Quorum</w:t>
            </w:r>
          </w:p>
        </w:tc>
        <w:tc>
          <w:p>
            <w:pPr>
              <w:pStyle w:val="Compact"/>
              <w:jc w:val="left"/>
            </w:pPr>
            <w:r>
              <w:t xml:space="preserve">Shareholders representing more than 50% of the share capital</w:t>
            </w:r>
          </w:p>
        </w:tc>
      </w:tr>
      <w:tr>
        <w:tc>
          <w:p>
            <w:pPr>
              <w:pStyle w:val="Compact"/>
              <w:jc w:val="left"/>
            </w:pPr>
            <w:r>
              <w:rPr>
                <w:b/>
              </w:rPr>
              <w:t xml:space="preserve">Voting</w:t>
            </w:r>
          </w:p>
        </w:tc>
        <w:tc>
          <w:p>
            <w:pPr>
              <w:pStyle w:val="Compact"/>
              <w:jc w:val="left"/>
            </w:pPr>
            <w:r>
              <w:t xml:space="preserve">One vote per share. Resolutions adopted by simple majority except for matters requiring higher thresholds (75% for amendments to the Statute, Reserved Matters, etc.)</w:t>
            </w:r>
          </w:p>
        </w:tc>
      </w:tr>
      <w:tr>
        <w:tc>
          <w:p>
            <w:pPr>
              <w:pStyle w:val="Compact"/>
              <w:jc w:val="left"/>
            </w:pPr>
            <w:r>
              <w:rPr>
                <w:b/>
              </w:rPr>
              <w:t xml:space="preserve">Notice</w:t>
            </w:r>
          </w:p>
        </w:tc>
        <w:tc>
          <w:p>
            <w:pPr>
              <w:pStyle w:val="Compact"/>
              <w:jc w:val="left"/>
            </w:pPr>
            <w:r>
              <w:t xml:space="preserve">15 days in advance for ordinary matters, 30 days for matters requiring 75% approval</w:t>
            </w:r>
          </w:p>
        </w:tc>
      </w:tr>
      <w:tr>
        <w:tc>
          <w:p>
            <w:pPr>
              <w:pStyle w:val="Compact"/>
              <w:jc w:val="left"/>
            </w:pPr>
            <w:r>
              <w:rPr>
                <w:b/>
              </w:rPr>
              <w:t xml:space="preserve">Written resolution</w:t>
            </w:r>
          </w:p>
        </w:tc>
        <w:tc>
          <w:p>
            <w:pPr>
              <w:pStyle w:val="Compact"/>
              <w:jc w:val="left"/>
            </w:pPr>
            <w:r>
              <w:t xml:space="preserve">Permitted, signed by all shareholders</w:t>
            </w:r>
          </w:p>
        </w:tc>
      </w:tr>
    </w:tbl>
    <w:p>
      <w:r>
        <w:pict>
          <v:rect style="width:0;height:1.5pt" o:hralign="center" o:hrstd="t" o:hr="t"/>
        </w:pict>
      </w:r>
    </w:p>
    <w:p>
      <w:pPr>
        <w:pStyle w:val="Heading2"/>
      </w:pPr>
      <w:bookmarkStart w:id="30" w:name="transfer-of-shares"/>
      <w:r>
        <w:t xml:space="preserve">7. Transfer of shares</w:t>
      </w:r>
      <w:bookmarkEnd w:id="30"/>
    </w:p>
    <w:p>
      <w:pPr>
        <w:pStyle w:val="FirstParagraph"/>
      </w:pPr>
      <w:r>
        <w:t xml:space="preserve">Transfer of shares is governed by the Shareholders Agreement, including:</w:t>
      </w:r>
      <w:r>
        <w:t xml:space="preserve"> </w:t>
      </w:r>
      <w:r>
        <w:t xml:space="preserve">- Right of First Refusal (ROFR) — by the Company first, then by the other Shareholders</w:t>
      </w:r>
      <w:r>
        <w:t xml:space="preserve"> </w:t>
      </w:r>
      <w:r>
        <w:t xml:space="preserve">- Tag-Along rights — minority shareholders may participate in any third-party sale by a majority shareholder</w:t>
      </w:r>
      <w:r>
        <w:t xml:space="preserve"> </w:t>
      </w:r>
      <w:r>
        <w:t xml:space="preserve">- Drag-Along rights — majority can compel minority to join an exit transaction, subject to defined protections</w:t>
      </w:r>
      <w:r>
        <w:t xml:space="preserve"> </w:t>
      </w:r>
      <w:r>
        <w:t xml:space="preserve">- Permitted transfers — to family trusts, estate planning vehicles, etc., subject to deed of adherence</w:t>
      </w:r>
    </w:p>
    <w:p>
      <w:r>
        <w:pict>
          <v:rect style="width:0;height:1.5pt" o:hralign="center" o:hrstd="t" o:hr="t"/>
        </w:pict>
      </w:r>
    </w:p>
    <w:p>
      <w:pPr>
        <w:pStyle w:val="Heading2"/>
      </w:pPr>
      <w:bookmarkStart w:id="31" w:name="fiscal-year-and-accounting"/>
      <w:r>
        <w:t xml:space="preserve">8. Fiscal year and accounting</w:t>
      </w:r>
      <w:bookmarkEnd w:id="31"/>
    </w:p>
    <w:tbl>
      <w:tblPr>
        <w:tblStyle w:val="Table"/>
        <w:tblW w:type="pct" w:w="5000.0"/>
        <w:tblLook w:firstRow="0"/>
      </w:tblPr>
      <w:tblGrid>
        <w:gridCol w:w="3960"/>
        <w:gridCol w:w="3960"/>
      </w:tblGrid>
      <w:tr>
        <w:tc>
          <w:p>
            <w:pPr>
              <w:pStyle w:val="Compact"/>
              <w:jc w:val="left"/>
            </w:pPr>
            <w:r>
              <w:rPr>
                <w:b/>
              </w:rPr>
              <w:t xml:space="preserve">Fiscal year</w:t>
            </w:r>
          </w:p>
        </w:tc>
        <w:tc>
          <w:p>
            <w:pPr>
              <w:pStyle w:val="Compact"/>
              <w:jc w:val="left"/>
            </w:pPr>
            <w:r>
              <w:t xml:space="preserve">1 January to 31 December</w:t>
            </w:r>
          </w:p>
        </w:tc>
      </w:tr>
      <w:tr>
        <w:tc>
          <w:p>
            <w:pPr>
              <w:pStyle w:val="Compact"/>
              <w:jc w:val="left"/>
            </w:pPr>
            <w:r>
              <w:rPr>
                <w:b/>
              </w:rPr>
              <w:t xml:space="preserve">Accounting standard</w:t>
            </w:r>
          </w:p>
        </w:tc>
        <w:tc>
          <w:p>
            <w:pPr>
              <w:pStyle w:val="Compact"/>
              <w:jc w:val="left"/>
            </w:pPr>
            <w:r>
              <w:t xml:space="preserve">Albanian National Accounting Standards (KKK), with optional IFRS for any periods where IFRS is required by an investor or partner</w:t>
            </w:r>
          </w:p>
        </w:tc>
      </w:tr>
      <w:tr>
        <w:tc>
          <w:p>
            <w:pPr>
              <w:pStyle w:val="Compact"/>
              <w:jc w:val="left"/>
            </w:pPr>
            <w:r>
              <w:rPr>
                <w:b/>
              </w:rPr>
              <w:t xml:space="preserve">Audit requirement</w:t>
            </w:r>
          </w:p>
        </w:tc>
        <w:tc>
          <w:p>
            <w:pPr>
              <w:pStyle w:val="Compact"/>
              <w:jc w:val="left"/>
            </w:pPr>
            <w:r>
              <w:t xml:space="preserve">Statutory audit when thresholds under Albanian law are met (assets, revenue, headcount). At seed stage, no statutory audit is required, but the Company may commission a review for investor reporting purposes.</w:t>
            </w:r>
          </w:p>
        </w:tc>
      </w:tr>
      <w:tr>
        <w:tc>
          <w:p>
            <w:pPr>
              <w:pStyle w:val="Compact"/>
              <w:jc w:val="left"/>
            </w:pPr>
            <w:r>
              <w:rPr>
                <w:b/>
              </w:rPr>
              <w:t xml:space="preserve">Annual report</w:t>
            </w:r>
          </w:p>
        </w:tc>
        <w:tc>
          <w:p>
            <w:pPr>
              <w:pStyle w:val="Compact"/>
              <w:jc w:val="left"/>
            </w:pPr>
            <w:r>
              <w:t xml:space="preserve">Filed annually with the QKB and tax authorities per Albanian law</w:t>
            </w:r>
          </w:p>
        </w:tc>
      </w:tr>
    </w:tbl>
    <w:p>
      <w:r>
        <w:pict>
          <v:rect style="width:0;height:1.5pt" o:hralign="center" o:hrstd="t" o:hr="t"/>
        </w:pict>
      </w:r>
    </w:p>
    <w:p>
      <w:pPr>
        <w:pStyle w:val="Heading2"/>
      </w:pPr>
      <w:bookmarkStart w:id="32" w:name="dissolution-and-liquidation"/>
      <w:r>
        <w:t xml:space="preserve">9. Dissolution and liquidation</w:t>
      </w:r>
      <w:bookmarkEnd w:id="32"/>
    </w:p>
    <w:p>
      <w:pPr>
        <w:pStyle w:val="FirstParagraph"/>
      </w:pPr>
      <w:r>
        <w:t xml:space="preserve">The Company may be dissolved by:</w:t>
      </w:r>
      <w:r>
        <w:t xml:space="preserve"> </w:t>
      </w:r>
      <w:r>
        <w:t xml:space="preserve">- Shareholder resolution at a 75% threshold</w:t>
      </w:r>
      <w:r>
        <w:t xml:space="preserve"> </w:t>
      </w:r>
      <w:r>
        <w:t xml:space="preserve">- Court order in cases prescribed by Albanian law (insolvency, illegality, etc.)</w:t>
      </w:r>
      <w:r>
        <w:t xml:space="preserve"> </w:t>
      </w:r>
      <w:r>
        <w:t xml:space="preserve">- Completion of the Company’s purpose or expiry of the term (the Statute has no defined term — indefinite)</w:t>
      </w:r>
    </w:p>
    <w:p>
      <w:pPr>
        <w:pStyle w:val="BodyText"/>
      </w:pPr>
      <w:r>
        <w:t xml:space="preserve">On dissolution, the Company’s assets are liquidated, debts paid, and the remainder distributed to shareholders in proportion to their shareholding, subject to any liquidation preferences granted to investor share classes.</w:t>
      </w:r>
    </w:p>
    <w:p>
      <w:r>
        <w:pict>
          <v:rect style="width:0;height:1.5pt" o:hralign="center" o:hrstd="t" o:hr="t"/>
        </w:pict>
      </w:r>
    </w:p>
    <w:p>
      <w:pPr>
        <w:pStyle w:val="Heading2"/>
      </w:pPr>
      <w:bookmarkStart w:id="33" w:name="amendment-of-the-statute"/>
      <w:r>
        <w:t xml:space="preserve">10. Amendment of the Statute</w:t>
      </w:r>
      <w:bookmarkEnd w:id="33"/>
    </w:p>
    <w:p>
      <w:pPr>
        <w:pStyle w:val="FirstParagraph"/>
      </w:pPr>
      <w:r>
        <w:t xml:space="preserve">The Statute may be amended only by Shareholder resolution at a 75% threshold of issued and outstanding shares, in accordance with Albanian Law No. 9901 and the Shareholders Agreement. Any amendment is filed with the QKB.</w:t>
      </w:r>
    </w:p>
    <w:p>
      <w:r>
        <w:pict>
          <v:rect style="width:0;height:1.5pt" o:hralign="center" o:hrstd="t" o:hr="t"/>
        </w:pict>
      </w:r>
    </w:p>
    <w:p>
      <w:pPr>
        <w:pStyle w:val="Heading2"/>
      </w:pPr>
      <w:bookmarkStart w:id="34" w:name="statutory-disclosures-and-registrations"/>
      <w:r>
        <w:t xml:space="preserve">11. Statutory disclosures and registrations</w:t>
      </w:r>
      <w:bookmarkEnd w:id="34"/>
    </w:p>
    <w:p>
      <w:pPr>
        <w:pStyle w:val="FirstParagraph"/>
      </w:pPr>
      <w:r>
        <w:t xml:space="preserve">The Company maintains the following statutory registrations at the QKB:</w:t>
      </w:r>
      <w:r>
        <w:t xml:space="preserve"> </w:t>
      </w:r>
      <w:r>
        <w:t xml:space="preserve">- Initial registration certificate (NIPT)</w:t>
      </w:r>
      <w:r>
        <w:t xml:space="preserve"> </w:t>
      </w:r>
      <w:r>
        <w:t xml:space="preserve">- Statute (this document, when finalised)</w:t>
      </w:r>
      <w:r>
        <w:t xml:space="preserve"> </w:t>
      </w:r>
      <w:r>
        <w:t xml:space="preserve">- Register of directors and beneficial owners</w:t>
      </w:r>
      <w:r>
        <w:t xml:space="preserve"> </w:t>
      </w:r>
      <w:r>
        <w:t xml:space="preserve">- Annual report and financial statements</w:t>
      </w:r>
      <w:r>
        <w:t xml:space="preserve"> </w:t>
      </w:r>
      <w:r>
        <w:t xml:space="preserve">- Material changes (registered office, share capital, share transfers, director changes)</w:t>
      </w:r>
    </w:p>
    <w:p>
      <w:r>
        <w:pict>
          <v:rect style="width:0;height:1.5pt" o:hralign="center" o:hrstd="t" o:hr="t"/>
        </w:pict>
      </w:r>
    </w:p>
    <w:p>
      <w:pPr>
        <w:pStyle w:val="Heading2"/>
      </w:pPr>
      <w:bookmarkStart w:id="35" w:name="filed-documents"/>
      <w:r>
        <w:t xml:space="preserve">Filed documents</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Status</w:t>
            </w:r>
          </w:p>
        </w:tc>
      </w:tr>
      <w:tr>
        <w:tc>
          <w:p>
            <w:pPr>
              <w:pStyle w:val="Compact"/>
              <w:jc w:val="left"/>
            </w:pPr>
            <w:r>
              <w:t xml:space="preserve">Executed Statute (Albanian)</w:t>
            </w:r>
          </w:p>
        </w:tc>
        <w:tc>
          <w:p>
            <w:pPr>
              <w:pStyle w:val="Compact"/>
              <w:jc w:val="left"/>
            </w:pPr>
            <w:r>
              <w:t xml:space="preserve">PDF scan</w:t>
            </w:r>
          </w:p>
        </w:tc>
        <w:tc>
          <w:p>
            <w:pPr>
              <w:pStyle w:val="Compact"/>
              <w:jc w:val="left"/>
            </w:pPr>
            <w:r>
              <w:t xml:space="preserve">PENDING — attached after QKB registration</w:t>
            </w:r>
          </w:p>
        </w:tc>
      </w:tr>
      <w:tr>
        <w:tc>
          <w:p>
            <w:pPr>
              <w:pStyle w:val="Compact"/>
              <w:jc w:val="left"/>
            </w:pPr>
            <w:r>
              <w:t xml:space="preserve">Certificate of Registration (NIPT)</w:t>
            </w:r>
          </w:p>
        </w:tc>
        <w:tc>
          <w:p>
            <w:pPr>
              <w:pStyle w:val="Compact"/>
              <w:jc w:val="left"/>
            </w:pPr>
            <w:r>
              <w:t xml:space="preserve">PDF scan</w:t>
            </w:r>
          </w:p>
        </w:tc>
        <w:tc>
          <w:p>
            <w:pPr>
              <w:pStyle w:val="Compact"/>
              <w:jc w:val="left"/>
            </w:pPr>
            <w:r>
              <w:t xml:space="preserve">PENDING — attached after QKB registration</w:t>
            </w:r>
          </w:p>
        </w:tc>
      </w:tr>
      <w:tr>
        <w:tc>
          <w:p>
            <w:pPr>
              <w:pStyle w:val="Compact"/>
              <w:jc w:val="left"/>
            </w:pPr>
            <w:r>
              <w:t xml:space="preserve">Beneficial owner register</w:t>
            </w:r>
          </w:p>
        </w:tc>
        <w:tc>
          <w:p>
            <w:pPr>
              <w:pStyle w:val="Compact"/>
              <w:jc w:val="left"/>
            </w:pPr>
            <w:r>
              <w:t xml:space="preserve">PDF</w:t>
            </w:r>
          </w:p>
        </w:tc>
        <w:tc>
          <w:p>
            <w:pPr>
              <w:pStyle w:val="Compact"/>
              <w:jc w:val="left"/>
            </w:pPr>
            <w:r>
              <w:t xml:space="preserve">PENDING — attached after QKB registration</w:t>
            </w:r>
          </w:p>
        </w:tc>
      </w:tr>
      <w:tr>
        <w:tc>
          <w:p>
            <w:pPr>
              <w:pStyle w:val="Compact"/>
              <w:jc w:val="left"/>
            </w:pPr>
            <w:r>
              <w:t xml:space="preserve">English translation of the Statute (for foreign investors)</w:t>
            </w:r>
          </w:p>
        </w:tc>
        <w:tc>
          <w:p>
            <w:pPr>
              <w:pStyle w:val="Compact"/>
              <w:jc w:val="left"/>
            </w:pPr>
            <w:r>
              <w:t xml:space="preserve">PDF</w:t>
            </w:r>
          </w:p>
        </w:tc>
        <w:tc>
          <w:p>
            <w:pPr>
              <w:pStyle w:val="Compact"/>
              <w:jc w:val="left"/>
            </w:pPr>
            <w:r>
              <w:t xml:space="preserve">PENDING — produced by certified translator after Albanian version is final</w:t>
            </w:r>
          </w:p>
        </w:tc>
      </w:tr>
    </w:tbl>
    <w:p>
      <w:pPr>
        <w:pStyle w:val="BodyText"/>
      </w:pPr>
      <w:r>
        <w:t xml:space="preserve">This summary will be replaced with the executed Statute (Albanian + English certified translation) as soon as QKB registration is complete.</w:t>
      </w:r>
    </w:p>
    <w:sectPr/>
    <w:headerReference xmlns:r="http://schemas.openxmlformats.org/officeDocument/2006/relationships" w:type="default" r:id="rId9"/>
    <w:footerReference xmlns:r="http://schemas.openxmlformats.org/officeDocument/2006/relationships" w:type="default" r:id="rId10"/>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31B7A38" w:rsidTr="531B7A38" w14:paraId="29A8EC8A">
      <w:trPr>
        <w:trHeight w:val="300"/>
      </w:trPr>
      <w:tc>
        <w:tcPr>
          <w:tcW w:w="3005" w:type="dxa"/>
          <w:tcMar/>
        </w:tcPr>
        <w:p w:rsidR="531B7A38" w:rsidP="531B7A38" w:rsidRDefault="531B7A38" w14:paraId="36E1DEAD" w14:textId="598CD99D">
          <w:pPr>
            <w:pStyle w:val="Header"/>
            <w:bidi w:val="0"/>
            <w:ind w:left="-115"/>
            <w:jc w:val="left"/>
          </w:pPr>
          <w:r w:rsidR="531B7A38">
            <w:rPr/>
            <w:t>Confidential</w:t>
          </w:r>
        </w:p>
      </w:tc>
      <w:tc>
        <w:tcPr>
          <w:tcW w:w="3005" w:type="dxa"/>
          <w:tcMar/>
        </w:tcPr>
        <w:p w:rsidR="531B7A38" w:rsidP="531B7A38" w:rsidRDefault="531B7A38" w14:paraId="19B02DA2" w14:textId="5429FBFC">
          <w:pPr>
            <w:pStyle w:val="Header"/>
            <w:bidi w:val="0"/>
            <w:jc w:val="center"/>
          </w:pPr>
        </w:p>
      </w:tc>
      <w:tc>
        <w:tcPr>
          <w:tcW w:w="3005" w:type="dxa"/>
          <w:tcMar/>
        </w:tcPr>
        <w:p w:rsidR="531B7A38" w:rsidP="531B7A38" w:rsidRDefault="531B7A38" w14:paraId="6D3A759C" w14:textId="4E668502">
          <w:pPr>
            <w:pStyle w:val="Header"/>
            <w:bidi w:val="0"/>
            <w:ind w:right="-115"/>
            <w:jc w:val="right"/>
          </w:pPr>
          <w:r>
            <w:fldChar w:fldCharType="begin"/>
          </w:r>
          <w:r>
            <w:instrText xml:space="preserve">PAGE</w:instrText>
          </w:r>
          <w:r>
            <w:fldChar w:fldCharType="separate"/>
          </w:r>
          <w:r>
            <w:fldChar w:fldCharType="end"/>
          </w:r>
        </w:p>
      </w:tc>
    </w:tr>
  </w:tbl>
  <w:p w:rsidR="531B7A38" w:rsidP="531B7A38" w:rsidRDefault="531B7A38" w14:paraId="747AEE13" w14:textId="29315CB8">
    <w:pPr>
      <w:pStyle w:val="Footer"/>
      <w:bidi w:val="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135"/>
    </w:tblGrid>
    <w:tr w:rsidR="531B7A38" w:rsidTr="531B7A38" w14:paraId="66CA1F85">
      <w:trPr>
        <w:trHeight w:val="300"/>
      </w:trPr>
      <w:tc>
        <w:tcPr>
          <w:tcW w:w="3005" w:type="dxa"/>
          <w:tcMar/>
        </w:tcPr>
        <w:p w:rsidR="531B7A38" w:rsidP="531B7A38" w:rsidRDefault="531B7A38" w14:paraId="5A971497" w14:textId="4C9EEE04">
          <w:pPr>
            <w:pStyle w:val="Header"/>
            <w:bidi w:val="0"/>
            <w:ind w:left="-115"/>
            <w:jc w:val="left"/>
          </w:pPr>
          <w:r w:rsidR="531B7A38">
            <w:drawing>
              <wp:inline wp14:editId="20E48AA8" wp14:anchorId="2DAC9DB7">
                <wp:extent cx="1755521" cy="504825"/>
                <wp:effectExtent l="0" t="0" r="0" b="0"/>
                <wp:docPr id="116614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66141909" name="Picture 11661419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8637033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55521" cy="504825"/>
                        </a:xfrm>
                        <a:prstGeom xmlns:a="http://schemas.openxmlformats.org/drawingml/2006/main" prst="rect">
                          <a:avLst xmlns:a="http://schemas.openxmlformats.org/drawingml/2006/main"/>
                        </a:prstGeom>
                      </pic:spPr>
                    </pic:pic>
                  </a:graphicData>
                </a:graphic>
              </wp:inline>
            </w:drawing>
          </w:r>
        </w:p>
      </w:tc>
      <w:tc>
        <w:tcPr>
          <w:tcW w:w="3005" w:type="dxa"/>
          <w:tcMar/>
        </w:tcPr>
        <w:p w:rsidR="531B7A38" w:rsidP="531B7A38" w:rsidRDefault="531B7A38" w14:paraId="58DE79C7" w14:textId="2904561D">
          <w:pPr>
            <w:pStyle w:val="Header"/>
            <w:bidi w:val="0"/>
            <w:jc w:val="center"/>
          </w:pPr>
        </w:p>
      </w:tc>
      <w:tc>
        <w:tcPr>
          <w:tcW w:w="3135" w:type="dxa"/>
          <w:tcMar/>
        </w:tcPr>
        <w:p w:rsidR="531B7A38" w:rsidP="531B7A38" w:rsidRDefault="531B7A38" w14:paraId="4E770491" w14:textId="157EA298">
          <w:pPr>
            <w:pStyle w:val="Header"/>
            <w:bidi w:val="0"/>
            <w:ind w:right="-115"/>
            <w:jc w:val="right"/>
          </w:pPr>
          <w:r w:rsidR="531B7A38">
            <w:rPr/>
            <w:t>Data Room</w:t>
          </w:r>
        </w:p>
        <w:p w:rsidR="531B7A38" w:rsidP="531B7A38" w:rsidRDefault="531B7A38" w14:paraId="5197A0A1" w14:textId="7E910E8A">
          <w:pPr>
            <w:pStyle w:val="Header"/>
            <w:bidi w:val="0"/>
            <w:ind w:right="-115"/>
            <w:jc w:val="right"/>
          </w:pPr>
          <w:r w:rsidR="531B7A38">
            <w:rPr/>
            <w:t>Created at: 11.06.2026</w:t>
          </w:r>
        </w:p>
        <w:p w:rsidR="531B7A38" w:rsidP="531B7A38" w:rsidRDefault="531B7A38" w14:paraId="5479D5A0" w14:textId="6D2AF88C">
          <w:pPr>
            <w:pStyle w:val="Header"/>
            <w:bidi w:val="0"/>
            <w:ind w:right="-115"/>
            <w:jc w:val="right"/>
          </w:pPr>
          <w:r w:rsidR="531B7A38">
            <w:rPr/>
            <w:t>Authored by: Xhurian Shaba</w:t>
          </w:r>
        </w:p>
      </w:tc>
    </w:tr>
  </w:tbl>
  <w:p w:rsidR="531B7A38" w:rsidP="531B7A38" w:rsidRDefault="531B7A38" w14:paraId="4B8EF386" w14:textId="48A7E038">
    <w:pPr>
      <w:pStyle w:val="Header"/>
      <w:bidi w:val="0"/>
    </w:pP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31B7A38"/>
    <w:pPr>
      <w:tabs>
        <w:tab w:val="center" w:leader="none" w:pos="4680"/>
        <w:tab w:val="right" w:leader="none" w:pos="9360"/>
      </w:tabs>
      <w:spacing w:after="0" w:line="240" w:lineRule="auto"/>
    </w:pPr>
  </w:style>
  <w:style w:type="paragraph" w:styleId="Footer">
    <w:uiPriority w:val="99"/>
    <w:name w:val="footer"/>
    <w:basedOn w:val="Normal"/>
    <w:unhideWhenUsed/>
    <w:rsid w:val="531B7A3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xml"/><Relationship Id="rId10" Type="http://schemas.openxmlformats.org/officeDocument/2006/relationships/footer" Target="footer.xml"/></Relationship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cefd545ed1e4998" /><Relationship Type="http://schemas.openxmlformats.org/officeDocument/2006/relationships/footer" Target="/word/footer.xml" Id="R084a1feab95247cf" /></Relationships>
</file>

<file path=word/_rels/footnotes.xml.rels><?xml version="1.0" encoding="UTF-8"?>
<Relationships xmlns="http://schemas.openxmlformats.org/package/2006/relationships" />
</file>

<file path=word/_rels/header.xml.rels>&#65279;<?xml version="1.0" encoding="utf-8"?><Relationships xmlns="http://schemas.openxmlformats.org/package/2006/relationships"><Relationship Type="http://schemas.openxmlformats.org/officeDocument/2006/relationships/image" Target="/media/image.png" Id="rId178637033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2026-06-11T12:37:04Z</dcterms:created>
  <dcterms:modified xsi:type="dcterms:W3CDTF">2026-06-11T12:37:04Z</dcterms:modified>
</cp:coreProperties>
</file>

<file path=docProps/custom.xml><?xml version="1.0" encoding="utf-8"?>
<Properties xmlns="http://schemas.openxmlformats.org/officeDocument/2006/custom-properties" xmlns:vt="http://schemas.openxmlformats.org/officeDocument/2006/docPropsVTypes"/>
</file>