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footer.xml" ContentType="application/vnd.openxmlformats-officedocument.wordprocessingml.footer+xml"/>
  <Default Extension="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urrent-round-500k-seed"/>
      <w:r>
        <w:t xml:space="preserve">Current Round — €500K Seed</w:t>
      </w:r>
      <w:bookmarkEnd w:id="20"/>
    </w:p>
    <w:p>
      <w:pPr>
        <w:pStyle w:val="FirstParagraph"/>
      </w:pPr>
      <w:r>
        <w:rPr>
          <w:b/>
        </w:rPr>
        <w:t xml:space="preserve">Last updated:</w:t>
      </w:r>
      <w:r>
        <w:t xml:space="preserve"> </w:t>
      </w:r>
      <w:r>
        <w:t xml:space="preserve">2026-06-02</w:t>
      </w:r>
      <w:r>
        <w:t xml:space="preserve"> </w:t>
      </w:r>
      <w:r>
        <w:rPr>
          <w:b/>
        </w:rPr>
        <w:t xml:space="preserve">Round status:</w:t>
      </w:r>
      <w:r>
        <w:t xml:space="preserve"> </w:t>
      </w:r>
      <w:r>
        <w:t xml:space="preserve">Open</w:t>
      </w:r>
    </w:p>
    <w:p>
      <w:pPr>
        <w:pStyle w:val="Heading2"/>
      </w:pPr>
      <w:bookmarkStart w:id="21" w:name="round-summary-at-a-glance"/>
      <w:r>
        <w:t xml:space="preserve">Round summary at a glance</w:t>
      </w:r>
      <w:bookmarkEnd w:id="21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Round type</w:t>
            </w:r>
          </w:p>
        </w:tc>
        <w:tc>
          <w:p>
            <w:pPr>
              <w:pStyle w:val="Compact"/>
              <w:jc w:val="left"/>
            </w:pPr>
            <w:r>
              <w:t xml:space="preserve">Seed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Raise amount</w:t>
            </w:r>
          </w:p>
        </w:tc>
        <w:tc>
          <w:p>
            <w:pPr>
              <w:pStyle w:val="Compact"/>
              <w:jc w:val="left"/>
            </w:pPr>
            <w:r>
              <w:t xml:space="preserve">€500,000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Instrument</w:t>
            </w:r>
          </w:p>
        </w:tc>
        <w:tc>
          <w:p>
            <w:pPr>
              <w:pStyle w:val="Compact"/>
              <w:jc w:val="left"/>
            </w:pPr>
            <w:r>
              <w:t xml:space="preserve">SAFE (preferred) or priced equity (acceptable)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Target post-money valuation</w:t>
            </w:r>
          </w:p>
        </w:tc>
        <w:tc>
          <w:p>
            <w:pPr>
              <w:pStyle w:val="Compact"/>
              <w:jc w:val="left"/>
            </w:pPr>
            <w:r>
              <w:t xml:space="preserve">€5,000,000 (range €4M–€6M defensible)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Implied investor ownership at €5M post</w:t>
            </w:r>
          </w:p>
        </w:tc>
        <w:tc>
          <w:p>
            <w:pPr>
              <w:pStyle w:val="Compact"/>
              <w:jc w:val="left"/>
            </w:pPr>
            <w:r>
              <w:t xml:space="preserve">10.0%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Round close target</w:t>
            </w:r>
          </w:p>
        </w:tc>
        <w:tc>
          <w:p>
            <w:pPr>
              <w:pStyle w:val="Compact"/>
              <w:jc w:val="left"/>
            </w:pPr>
            <w:r>
              <w:t xml:space="preserve">Q3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Lead investor status</w:t>
            </w:r>
          </w:p>
        </w:tc>
        <w:tc>
          <w:p>
            <w:pPr>
              <w:pStyle w:val="Compact"/>
              <w:jc w:val="left"/>
            </w:pPr>
            <w:r>
              <w:t xml:space="preserve">No lead currently — actively seeking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Soft commitments</w:t>
            </w:r>
          </w:p>
        </w:tc>
        <w:tc>
          <w:p>
            <w:pPr>
              <w:pStyle w:val="Compact"/>
              <w:jc w:val="left"/>
            </w:pPr>
            <w:r>
              <w:t xml:space="preserve">None confirmed as of 2 June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Pro-rata rights for participants</w:t>
            </w:r>
          </w:p>
        </w:tc>
        <w:tc>
          <w:p>
            <w:pPr>
              <w:pStyle w:val="Compact"/>
              <w:jc w:val="left"/>
            </w:pPr>
            <w:r>
              <w:t xml:space="preserve">Yes (subject to standard caps in the SAFE / priced-equity documentation)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Use of funds summary</w:t>
            </w:r>
          </w:p>
        </w:tc>
        <w:tc>
          <w:p>
            <w:pPr>
              <w:pStyle w:val="Compact"/>
              <w:jc w:val="left"/>
            </w:pPr>
            <w:r>
              <w:t xml:space="preserve">30% GTM/US Sales · 20% Events + App Store · 15% US Move · 10% Eng/Advisory · 15% Operations · 10% Contingency</w:t>
            </w:r>
          </w:p>
        </w:tc>
      </w:tr>
    </w:tbl>
    <w:p>
      <w:pPr>
        <w:pStyle w:val="BodyText"/>
      </w:pPr>
      <w:r>
        <w:t xml:space="preserve">Full breakdown in</w:t>
      </w:r>
      <w:r>
        <w:t xml:space="preserve"> </w:t>
      </w:r>
      <w:r>
        <w:rPr>
          <w:rStyle w:val="VerbatimChar"/>
        </w:rPr>
        <w:t xml:space="preserve">ecentic-financial-model.xlsx</w:t>
      </w:r>
      <w:r>
        <w:t xml:space="preserve"> </w:t>
      </w:r>
      <w:r>
        <w:t xml:space="preserve">→ Use of Funds tab.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ocuments-in-this-round"/>
      <w:r>
        <w:t xml:space="preserve">Documents in this round</w:t>
      </w:r>
      <w:bookmarkEnd w:id="22"/>
    </w:p>
    <w:p>
      <w:pPr>
        <w:pStyle w:val="FirstParagraph"/>
      </w:pPr>
      <w:r>
        <w:t xml:space="preserve">The following documents collectively constitute the</w:t>
      </w:r>
      <w:r>
        <w:t xml:space="preserve"> </w:t>
      </w:r>
      <w:r>
        <w:t xml:space="preserve">“</w:t>
      </w:r>
      <w:r>
        <w:t xml:space="preserve">current round</w:t>
      </w:r>
      <w:r>
        <w:t xml:space="preserve">”</w:t>
      </w:r>
      <w:r>
        <w:t xml:space="preserve"> </w:t>
      </w:r>
      <w:r>
        <w:t xml:space="preserve">materials. Each is filed in the data room and updated as the round progresses.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Pitch Deck</w:t>
            </w:r>
          </w:p>
        </w:tc>
        <w:tc>
          <w:p>
            <w:pPr>
              <w:pStyle w:val="Compact"/>
              <w:jc w:val="left"/>
            </w:pPr>
            <w:r>
              <w:t xml:space="preserve">DELIVERED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1_company_fundamentals/1.1_snapshot/ecentic-pitch-deck.pdf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Pager</w:t>
            </w:r>
          </w:p>
        </w:tc>
        <w:tc>
          <w:p>
            <w:pPr>
              <w:pStyle w:val="Compact"/>
              <w:jc w:val="left"/>
            </w:pPr>
            <w:r>
              <w:t xml:space="preserve">DELIVERED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1_company_fundamentals/1.1_snapshot/ecentic-one-pager.pdf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 Metrics Dashboard</w:t>
            </w:r>
          </w:p>
        </w:tc>
        <w:tc>
          <w:p>
            <w:pPr>
              <w:pStyle w:val="Compact"/>
              <w:jc w:val="left"/>
            </w:pPr>
            <w:r>
              <w:t xml:space="preserve">DELIVERED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1_company_fundamentals/1.1_snapshot/key-metrics-dashboard.pdf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Long-Term Vision</w:t>
            </w:r>
          </w:p>
        </w:tc>
        <w:tc>
          <w:p>
            <w:pPr>
              <w:pStyle w:val="Compact"/>
              <w:jc w:val="left"/>
            </w:pPr>
            <w:r>
              <w:t xml:space="preserve">DELIVERED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1_company_fundamentals/1.1_snapshot/long-term-vision.pdf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Case Study (Dua Flavours)</w:t>
            </w:r>
          </w:p>
        </w:tc>
        <w:tc>
          <w:p>
            <w:pPr>
              <w:pStyle w:val="Compact"/>
              <w:jc w:val="left"/>
            </w:pPr>
            <w:r>
              <w:t xml:space="preserve">DELIVERED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1_company_fundamentals/1.1_snapshot/case-study-dua-flavours.pdf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Feasibility Plan (US move vs Europe stay)</w:t>
            </w:r>
          </w:p>
        </w:tc>
        <w:tc>
          <w:p>
            <w:pPr>
              <w:pStyle w:val="Compact"/>
              <w:jc w:val="left"/>
            </w:pPr>
            <w:r>
              <w:t xml:space="preserve">DELIVERED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1_company_fundamentals/1.1_snapshot/feasibility-plan.pdf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 Table (with €500K scenarios)</w:t>
            </w:r>
          </w:p>
        </w:tc>
        <w:tc>
          <w:p>
            <w:pPr>
              <w:pStyle w:val="Compact"/>
              <w:jc w:val="left"/>
            </w:pPr>
            <w:r>
              <w:t xml:space="preserve">DELIVERED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1_company_fundamentals/1.4_investment_docs/ecentic-cap-table.xlsx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Stock Option Plan</w:t>
            </w:r>
          </w:p>
        </w:tc>
        <w:tc>
          <w:p>
            <w:pPr>
              <w:pStyle w:val="Compact"/>
              <w:jc w:val="left"/>
            </w:pPr>
            <w:r>
              <w:t xml:space="preserve">DELIVERED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1_company_fundamentals/1.4_investment_docs/ecentic-stock-option-plan.pdf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Shareholders Agreement</w:t>
            </w:r>
          </w:p>
        </w:tc>
        <w:tc>
          <w:p>
            <w:pPr>
              <w:pStyle w:val="Compact"/>
              <w:jc w:val="left"/>
            </w:pPr>
            <w:r>
              <w:t xml:space="preserve">DELIVERED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1_company_fundamentals/1.3_company_docs/ecentic-shareholders-agreement.pdf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Financial Model (5-tab)</w:t>
            </w:r>
          </w:p>
        </w:tc>
        <w:tc>
          <w:p>
            <w:pPr>
              <w:pStyle w:val="Compact"/>
              <w:jc w:val="left"/>
            </w:pPr>
            <w:r>
              <w:t xml:space="preserve">DELIVERED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2_traction_financials/2.2_financials/ecentic-financial-model.xlsx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SAFE Term Sheet (template)</w:t>
            </w:r>
          </w:p>
        </w:tc>
        <w:tc>
          <w:p>
            <w:pPr>
              <w:pStyle w:val="Compact"/>
              <w:jc w:val="left"/>
            </w:pPr>
            <w:r>
              <w:t xml:space="preserve">THIS DOCUMENT</w:t>
            </w:r>
          </w:p>
        </w:tc>
        <w:tc>
          <w:p>
            <w:pPr>
              <w:pStyle w:val="Compact"/>
              <w:jc w:val="left"/>
            </w:pPr>
            <w:r>
              <w:t xml:space="preserve">below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Priced-Round Term Sheet (template)</w:t>
            </w:r>
          </w:p>
        </w:tc>
        <w:tc>
          <w:p>
            <w:pPr>
              <w:pStyle w:val="Compact"/>
              <w:jc w:val="left"/>
            </w:pPr>
            <w:r>
              <w:t xml:space="preserve">THIS DOCUMENT</w:t>
            </w:r>
          </w:p>
        </w:tc>
        <w:tc>
          <w:p>
            <w:pPr>
              <w:pStyle w:val="Compact"/>
              <w:jc w:val="left"/>
            </w:pPr>
            <w:r>
              <w:t xml:space="preserve">below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Investor Update Template</w:t>
            </w:r>
          </w:p>
        </w:tc>
        <w:tc>
          <w:p>
            <w:pPr>
              <w:pStyle w:val="Compact"/>
              <w:jc w:val="left"/>
            </w:pPr>
            <w:r>
              <w:t xml:space="preserve">DELIVERED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1_company_fundamentals/1.4_investment_docs/investor-update-template.pdf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indicative-safe-terms"/>
      <w:r>
        <w:t xml:space="preserve">Indicative SAFE terms</w:t>
      </w:r>
      <w:bookmarkEnd w:id="23"/>
    </w:p>
    <w:p>
      <w:pPr>
        <w:pStyle w:val="FirstParagraph"/>
      </w:pPr>
      <w:r>
        <w:t xml:space="preserve">For investors who prefer a SAFE (Simple Agreement for Future Equity), the following terms are the starting point: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Instrument</w:t>
            </w:r>
          </w:p>
        </w:tc>
        <w:tc>
          <w:p>
            <w:pPr>
              <w:pStyle w:val="Compact"/>
              <w:jc w:val="left"/>
            </w:pPr>
            <w:r>
              <w:t xml:space="preserve">SAFE (post-money cap), based on the Y Combinator standard SAFE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Investment amount</w:t>
            </w:r>
          </w:p>
        </w:tc>
        <w:tc>
          <w:p>
            <w:pPr>
              <w:pStyle w:val="Compact"/>
              <w:jc w:val="left"/>
            </w:pPr>
            <w:r>
              <w:t xml:space="preserve">€[INVESTOR-SPECIFIC]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Post-money valuation cap</w:t>
            </w:r>
          </w:p>
        </w:tc>
        <w:tc>
          <w:p>
            <w:pPr>
              <w:pStyle w:val="Compact"/>
              <w:jc w:val="left"/>
            </w:pPr>
            <w:r>
              <w:t xml:space="preserve">€5,000,000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Discount rate</w:t>
            </w:r>
          </w:p>
        </w:tc>
        <w:tc>
          <w:p>
            <w:pPr>
              <w:pStyle w:val="Compact"/>
              <w:jc w:val="left"/>
            </w:pPr>
            <w:r>
              <w:t xml:space="preserve">None (cap-only)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Most-Favored-Nation (MFN) provision</w:t>
            </w:r>
          </w:p>
        </w:tc>
        <w:tc>
          <w:p>
            <w:pPr>
              <w:pStyle w:val="Compact"/>
              <w:jc w:val="left"/>
            </w:pPr>
            <w:r>
              <w:t xml:space="preserve">Included — investor entitled to receive any more favorable terms granted to subsequent SAFE investors in this round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Pro-rata rights</w:t>
            </w:r>
          </w:p>
        </w:tc>
        <w:tc>
          <w:p>
            <w:pPr>
              <w:pStyle w:val="Compact"/>
              <w:jc w:val="left"/>
            </w:pPr>
            <w:r>
              <w:t xml:space="preserve">Granted (Side Letter) — investor may participate up to their original ownership % in the next priced equity financing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Conversion</w:t>
            </w:r>
          </w:p>
        </w:tc>
        <w:tc>
          <w:p>
            <w:pPr>
              <w:pStyle w:val="Compact"/>
              <w:jc w:val="left"/>
            </w:pPr>
            <w:r>
              <w:t xml:space="preserve">Automatic on next qualifying equity financing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Information rights</w:t>
            </w:r>
          </w:p>
        </w:tc>
        <w:tc>
          <w:p>
            <w:pPr>
              <w:pStyle w:val="Compact"/>
              <w:jc w:val="left"/>
            </w:pPr>
            <w:r>
              <w:t xml:space="preserve">Quarterly written investor update (the écentic monthly cadence satisfies this)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Confidentiality</w:t>
            </w:r>
          </w:p>
        </w:tc>
        <w:tc>
          <w:p>
            <w:pPr>
              <w:pStyle w:val="Compact"/>
              <w:jc w:val="left"/>
            </w:pPr>
            <w:r>
              <w:t xml:space="preserve">Standard — investor commits to confidential treatment of materials shared in the data room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Governing law</w:t>
            </w:r>
          </w:p>
        </w:tc>
        <w:tc>
          <w:p>
            <w:pPr>
              <w:pStyle w:val="Compact"/>
              <w:jc w:val="left"/>
            </w:pPr>
            <w:r>
              <w:t xml:space="preserve">Albania (or Delaware US-style SAFE for US investors, by mutual agreement)</w:t>
            </w:r>
          </w:p>
        </w:tc>
      </w:tr>
    </w:tbl>
    <w:p>
      <w:pPr>
        <w:pStyle w:val="BodyText"/>
      </w:pPr>
      <w:r>
        <w:t xml:space="preserve">Standard YC SAFE legal text is the basis. Anyone wanting to invest via SAFE can request the full executable document — investing@ecentic.ai.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indicative-priced-round-terms"/>
      <w:r>
        <w:t xml:space="preserve">Indicative priced-round terms</w:t>
      </w:r>
      <w:bookmarkEnd w:id="24"/>
    </w:p>
    <w:p>
      <w:pPr>
        <w:pStyle w:val="FirstParagraph"/>
      </w:pPr>
      <w:r>
        <w:t xml:space="preserve">For investors who prefer a priced equity round, the following are the starting terms: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Round type</w:t>
            </w:r>
          </w:p>
        </w:tc>
        <w:tc>
          <w:p>
            <w:pPr>
              <w:pStyle w:val="Compact"/>
              <w:jc w:val="left"/>
            </w:pPr>
            <w:r>
              <w:t xml:space="preserve">Priced seed equity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Investment amount</w:t>
            </w:r>
          </w:p>
        </w:tc>
        <w:tc>
          <w:p>
            <w:pPr>
              <w:pStyle w:val="Compact"/>
              <w:jc w:val="left"/>
            </w:pPr>
            <w:r>
              <w:t xml:space="preserve">€500,000 total round size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Pre-money valuation</w:t>
            </w:r>
          </w:p>
        </w:tc>
        <w:tc>
          <w:p>
            <w:pPr>
              <w:pStyle w:val="Compact"/>
              <w:jc w:val="left"/>
            </w:pPr>
            <w:r>
              <w:t xml:space="preserve">€4,500,000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Post-money valuation</w:t>
            </w:r>
          </w:p>
        </w:tc>
        <w:tc>
          <w:p>
            <w:pPr>
              <w:pStyle w:val="Compact"/>
              <w:jc w:val="left"/>
            </w:pPr>
            <w:r>
              <w:t xml:space="preserve">€5,000,000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Investor ownership at close</w:t>
            </w:r>
          </w:p>
        </w:tc>
        <w:tc>
          <w:p>
            <w:pPr>
              <w:pStyle w:val="Compact"/>
              <w:jc w:val="left"/>
            </w:pPr>
            <w:r>
              <w:t xml:space="preserve">10.0% (assuming full €500K subscribed)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Series Seed Preferred Shares of écentic shpk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ESOP top-up</w:t>
            </w:r>
          </w:p>
        </w:tc>
        <w:tc>
          <w:p>
            <w:pPr>
              <w:pStyle w:val="Compact"/>
              <w:jc w:val="left"/>
            </w:pPr>
            <w:r>
              <w:t xml:space="preserve">10% post-round, sourced from the existing reserve pool (no additional founder dilution)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Liquidation preference</w:t>
            </w:r>
          </w:p>
        </w:tc>
        <w:tc>
          <w:p>
            <w:pPr>
              <w:pStyle w:val="Compact"/>
              <w:jc w:val="left"/>
            </w:pPr>
            <w:r>
              <w:t xml:space="preserve">1× non-participating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Voting rights</w:t>
            </w:r>
          </w:p>
        </w:tc>
        <w:tc>
          <w:p>
            <w:pPr>
              <w:pStyle w:val="Compact"/>
              <w:jc w:val="left"/>
            </w:pPr>
            <w:r>
              <w:t xml:space="preserve">Pro-rata, on an as-converted basis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Conversion</w:t>
            </w:r>
          </w:p>
        </w:tc>
        <w:tc>
          <w:p>
            <w:pPr>
              <w:pStyle w:val="Compact"/>
              <w:jc w:val="left"/>
            </w:pPr>
            <w:r>
              <w:t xml:space="preserve">Automatic on Qualified IPO; voluntary at any time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Anti-dilution</w:t>
            </w:r>
          </w:p>
        </w:tc>
        <w:tc>
          <w:p>
            <w:pPr>
              <w:pStyle w:val="Compact"/>
              <w:jc w:val="left"/>
            </w:pPr>
            <w:r>
              <w:t xml:space="preserve">Broad-based weighted average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Information rights</w:t>
            </w:r>
          </w:p>
        </w:tc>
        <w:tc>
          <w:p>
            <w:pPr>
              <w:pStyle w:val="Compact"/>
              <w:jc w:val="left"/>
            </w:pPr>
            <w:r>
              <w:t xml:space="preserve">Standard for European seed — monthly written update, annual statements, ad-hoc reasonable requests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Pro-rata rights</w:t>
            </w:r>
          </w:p>
        </w:tc>
        <w:tc>
          <w:p>
            <w:pPr>
              <w:pStyle w:val="Compact"/>
              <w:jc w:val="left"/>
            </w:pPr>
            <w:r>
              <w:t xml:space="preserve">Granted on subsequent rounds, up to original ownership 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Right of First Refusal (ROFR)</w:t>
            </w:r>
          </w:p>
        </w:tc>
        <w:tc>
          <w:p>
            <w:pPr>
              <w:pStyle w:val="Compact"/>
              <w:jc w:val="left"/>
            </w:pPr>
            <w:r>
              <w:t xml:space="preserve">Per Shareholders Agreement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Drag-along, tag-along</w:t>
            </w:r>
          </w:p>
        </w:tc>
        <w:tc>
          <w:p>
            <w:pPr>
              <w:pStyle w:val="Compact"/>
              <w:jc w:val="left"/>
            </w:pPr>
            <w:r>
              <w:t xml:space="preserve">Per Shareholders Agreement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Board composition</w:t>
            </w:r>
          </w:p>
        </w:tc>
        <w:tc>
          <w:p>
            <w:pPr>
              <w:pStyle w:val="Compact"/>
              <w:jc w:val="left"/>
            </w:pPr>
            <w:r>
              <w:t xml:space="preserve">3-Director Board remains, no additional investor Director seat granted at this round (Observer rights available on request)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Founder reverse vesting</w:t>
            </w:r>
          </w:p>
        </w:tc>
        <w:tc>
          <w:p>
            <w:pPr>
              <w:pStyle w:val="Compact"/>
              <w:jc w:val="left"/>
            </w:pPr>
            <w:r>
              <w:t xml:space="preserve">Confirmed — 4-year vesting, 1-year cliff, double-trigger acceleration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Governing law</w:t>
            </w:r>
          </w:p>
        </w:tc>
        <w:tc>
          <w:p>
            <w:pPr>
              <w:pStyle w:val="Compact"/>
              <w:jc w:val="left"/>
            </w:pPr>
            <w:r>
              <w:t xml:space="preserve">Republic of Albania</w:t>
            </w:r>
          </w:p>
        </w:tc>
      </w:tr>
    </w:tbl>
    <w:p>
      <w:pPr>
        <w:pStyle w:val="BodyText"/>
      </w:pPr>
      <w:r>
        <w:t xml:space="preserve">These are the indicative terms. Final terms are subject to negotiation with the lead investor and committed alongside the round-close documentation.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round-close-logistics"/>
      <w:r>
        <w:t xml:space="preserve">Round close logistics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Investor outreach and meetings</w:t>
            </w:r>
          </w:p>
        </w:tc>
        <w:tc>
          <w:p>
            <w:pPr>
              <w:pStyle w:val="Compact"/>
              <w:jc w:val="left"/>
            </w:pPr>
            <w:r>
              <w:t xml:space="preserve">Xhurian (CEO) + Iseld (Head of Sales)</w:t>
            </w:r>
          </w:p>
        </w:tc>
        <w:tc>
          <w:p>
            <w:pPr>
              <w:pStyle w:val="Compact"/>
              <w:jc w:val="left"/>
            </w:pPr>
            <w:r>
              <w:t xml:space="preserve">Q2–Q3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room access granted to qualified investors</w:t>
            </w:r>
          </w:p>
        </w:tc>
        <w:tc>
          <w:p>
            <w:pPr>
              <w:pStyle w:val="Compact"/>
              <w:jc w:val="left"/>
            </w:pPr>
            <w:r>
              <w:t xml:space="preserve">Xhurian</w:t>
            </w:r>
          </w:p>
        </w:tc>
        <w:tc>
          <w:p>
            <w:pPr>
              <w:pStyle w:val="Compact"/>
              <w:jc w:val="left"/>
            </w:pPr>
            <w:r>
              <w:t xml:space="preserve">On request, post-NDA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Diligence Q&amp;A</w:t>
            </w:r>
          </w:p>
        </w:tc>
        <w:tc>
          <w:p>
            <w:pPr>
              <w:pStyle w:val="Compact"/>
              <w:jc w:val="left"/>
            </w:pPr>
            <w:r>
              <w:t xml:space="preserve">All founders</w:t>
            </w:r>
          </w:p>
        </w:tc>
        <w:tc>
          <w:p>
            <w:pPr>
              <w:pStyle w:val="Compact"/>
              <w:jc w:val="left"/>
            </w:pPr>
            <w:r>
              <w:t xml:space="preserve">On request, target 48-hour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Term sheet signing</w:t>
            </w:r>
          </w:p>
        </w:tc>
        <w:tc>
          <w:p>
            <w:pPr>
              <w:pStyle w:val="Compact"/>
              <w:jc w:val="left"/>
            </w:pPr>
            <w:r>
              <w:t xml:space="preserve">Xhurian (CEO)</w:t>
            </w:r>
          </w:p>
        </w:tc>
        <w:tc>
          <w:p>
            <w:pPr>
              <w:pStyle w:val="Compact"/>
              <w:jc w:val="left"/>
            </w:pPr>
            <w:r>
              <w:t xml:space="preserve">Once lead investor committed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 documentation drafting</w:t>
            </w:r>
          </w:p>
        </w:tc>
        <w:tc>
          <w:p>
            <w:pPr>
              <w:pStyle w:val="Compact"/>
              <w:jc w:val="left"/>
            </w:pPr>
            <w:r>
              <w:t xml:space="preserve">External legal counsel</w:t>
            </w:r>
          </w:p>
        </w:tc>
        <w:tc>
          <w:p>
            <w:pPr>
              <w:pStyle w:val="Compact"/>
              <w:jc w:val="left"/>
            </w:pPr>
            <w:r>
              <w:t xml:space="preserve">2–3 weeks post term sheet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Round close + wire</w:t>
            </w:r>
          </w:p>
        </w:tc>
        <w:tc>
          <w:p>
            <w:pPr>
              <w:pStyle w:val="Compact"/>
              <w:jc w:val="left"/>
            </w:pPr>
            <w:r>
              <w:t xml:space="preserve">All shareholders + investors</w:t>
            </w:r>
          </w:p>
        </w:tc>
        <w:tc>
          <w:p>
            <w:pPr>
              <w:pStyle w:val="Compact"/>
              <w:jc w:val="left"/>
            </w:pPr>
            <w:r>
              <w:t xml:space="preserve">Target: 4–6 weeks post term sheet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Post-close investor onboarding</w:t>
            </w:r>
          </w:p>
        </w:tc>
        <w:tc>
          <w:p>
            <w:pPr>
              <w:pStyle w:val="Compact"/>
              <w:jc w:val="left"/>
            </w:pPr>
            <w:r>
              <w:t xml:space="preserve">Xhurian + Iseld</w:t>
            </w:r>
          </w:p>
        </w:tc>
        <w:tc>
          <w:p>
            <w:pPr>
              <w:pStyle w:val="Compact"/>
              <w:jc w:val="left"/>
            </w:pPr>
            <w:r>
              <w:t xml:space="preserve">Immediate post-close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what-we-are-not-raising-on"/>
      <w:r>
        <w:t xml:space="preserve">What we are NOT raising on</w:t>
      </w:r>
      <w:bookmarkEnd w:id="26"/>
    </w:p>
    <w:p>
      <w:pPr>
        <w:pStyle w:val="FirstParagraph"/>
      </w:pPr>
      <w:r>
        <w:t xml:space="preserve">For clarity to investors evaluating us: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We are not raising on engineering hires.</w:t>
      </w:r>
      <w:r>
        <w:t xml:space="preserve"> </w:t>
      </w:r>
      <w:r>
        <w:t xml:space="preserve">The platform is shipped and operating. The €500K is overwhelmingly GTM and US presence — sales, events, App Store, US relocation.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We are not raising on rebuilding the product.</w:t>
      </w:r>
      <w:r>
        <w:t xml:space="preserve"> </w:t>
      </w:r>
      <w:r>
        <w:t xml:space="preserve">The codebase is production-grade, live on Shopify with paying customers. Engineering effort continues under the existing founder + freelancer model.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We are not raising on speculative bets.</w:t>
      </w:r>
      <w:r>
        <w:t xml:space="preserve"> </w:t>
      </w:r>
      <w:r>
        <w:t xml:space="preserve">Every line of the use-of-funds breakdown ties to a specific milestone in the financial model and the feasibility plan.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how-to-express-interest"/>
      <w:r>
        <w:t xml:space="preserve">How to express interest</w:t>
      </w:r>
      <w:bookmarkEnd w:id="27"/>
    </w:p>
    <w:p>
      <w:pPr>
        <w:pStyle w:val="FirstParagraph"/>
      </w:pPr>
      <w:r>
        <w:t xml:space="preserve">For investors interested in participating in this round:</w:t>
      </w:r>
    </w:p>
    <w:p>
      <w:pPr>
        <w:pStyle w:val="BodyText"/>
      </w:pPr>
      <w:r>
        <w:rPr>
          <w:b/>
        </w:rPr>
        <w:t xml:space="preserve">Primary contact:</w:t>
      </w:r>
      <w:r>
        <w:t xml:space="preserve"> </w:t>
      </w:r>
      <w:r>
        <w:t xml:space="preserve">Xhurian Shaba (CEO) — investing@ecentic.ai</w:t>
      </w:r>
      <w:r>
        <w:t xml:space="preserve"> </w:t>
      </w:r>
      <w:r>
        <w:rPr>
          <w:b/>
        </w:rPr>
        <w:t xml:space="preserve">Secondary contact:</w:t>
      </w:r>
      <w:r>
        <w:t xml:space="preserve"> </w:t>
      </w:r>
      <w:r>
        <w:t xml:space="preserve">Iseld Muça (Head of Sales) — iseld@ecentic.ai</w:t>
      </w:r>
    </w:p>
    <w:p>
      <w:pPr>
        <w:pStyle w:val="BodyText"/>
      </w:pPr>
      <w:r>
        <w:t xml:space="preserve">Initial conversations typically follow this sequence:</w:t>
      </w:r>
      <w:r>
        <w:t xml:space="preserve"> </w:t>
      </w:r>
      <w:r>
        <w:t xml:space="preserve">1. 30-minute introductory call — pitch overview, key questions</w:t>
      </w:r>
      <w:r>
        <w:t xml:space="preserve"> </w:t>
      </w:r>
      <w:r>
        <w:t xml:space="preserve">2. Demo on a live merchant catalogue</w:t>
      </w:r>
      <w:r>
        <w:t xml:space="preserve"> </w:t>
      </w:r>
      <w:r>
        <w:t xml:space="preserve">3. Data room access granted (post-NDA if requested by investor)</w:t>
      </w:r>
      <w:r>
        <w:t xml:space="preserve"> </w:t>
      </w:r>
      <w:r>
        <w:t xml:space="preserve">4. Diligence Q&amp;A</w:t>
      </w:r>
      <w:r>
        <w:t xml:space="preserve"> </w:t>
      </w:r>
      <w:r>
        <w:t xml:space="preserve">5. Term sheet signing</w:t>
      </w:r>
      <w:r>
        <w:t xml:space="preserve"> </w:t>
      </w:r>
      <w:r>
        <w:t xml:space="preserve">6. Final documentation and close</w:t>
      </w:r>
    </w:p>
    <w:p>
      <w:pPr>
        <w:pStyle w:val="BodyText"/>
      </w:pPr>
      <w:r>
        <w:t xml:space="preserve">We respond to qualified investor outreach within 48 hours.</w:t>
      </w:r>
    </w:p>
    <w:sectPr/>
    <w:headerReference xmlns:r="http://schemas.openxmlformats.org/officeDocument/2006/relationships" w:type="default" r:id="rId9"/>
    <w:footerReference xmlns:r="http://schemas.openxmlformats.org/officeDocument/2006/relationships" w:type="default" r:id="rId10"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31B7A38" w:rsidTr="531B7A38" w14:paraId="29A8EC8A">
      <w:trPr>
        <w:trHeight w:val="300"/>
      </w:trPr>
      <w:tc>
        <w:tcPr>
          <w:tcW w:w="3005" w:type="dxa"/>
          <w:tcMar/>
        </w:tcPr>
        <w:p w:rsidR="531B7A38" w:rsidP="531B7A38" w:rsidRDefault="531B7A38" w14:paraId="36E1DEAD" w14:textId="598CD99D">
          <w:pPr>
            <w:pStyle w:val="Header"/>
            <w:bidi w:val="0"/>
            <w:ind w:left="-115"/>
            <w:jc w:val="left"/>
          </w:pPr>
          <w:r w:rsidR="531B7A38">
            <w:rPr/>
            <w:t>Confidential</w:t>
          </w:r>
        </w:p>
      </w:tc>
      <w:tc>
        <w:tcPr>
          <w:tcW w:w="3005" w:type="dxa"/>
          <w:tcMar/>
        </w:tcPr>
        <w:p w:rsidR="531B7A38" w:rsidP="531B7A38" w:rsidRDefault="531B7A38" w14:paraId="19B02DA2" w14:textId="5429FBF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31B7A38" w:rsidP="531B7A38" w:rsidRDefault="531B7A38" w14:paraId="6D3A759C" w14:textId="4E668502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531B7A38" w:rsidP="531B7A38" w:rsidRDefault="531B7A38" w14:paraId="747AEE13" w14:textId="29315CB8">
    <w:pPr>
      <w:pStyle w:val="Footer"/>
      <w:bidi w:val="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135"/>
    </w:tblGrid>
    <w:tr w:rsidR="531B7A38" w:rsidTr="531B7A38" w14:paraId="66CA1F85">
      <w:trPr>
        <w:trHeight w:val="300"/>
      </w:trPr>
      <w:tc>
        <w:tcPr>
          <w:tcW w:w="3005" w:type="dxa"/>
          <w:tcMar/>
        </w:tcPr>
        <w:p w:rsidR="531B7A38" w:rsidP="531B7A38" w:rsidRDefault="531B7A38" w14:paraId="5A971497" w14:textId="4C9EEE04">
          <w:pPr>
            <w:pStyle w:val="Header"/>
            <w:bidi w:val="0"/>
            <w:ind w:left="-115"/>
            <w:jc w:val="left"/>
          </w:pPr>
          <w:r w:rsidR="531B7A38">
            <w:drawing>
              <wp:inline wp14:editId="20E48AA8" wp14:anchorId="2DAC9DB7">
                <wp:extent cx="1755521" cy="504825"/>
                <wp:effectExtent l="0" t="0" r="0" b="0"/>
                <wp:docPr id="1166141909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166141909" name="Picture 1166141909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786370339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55521" cy="5048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tcMar/>
        </w:tcPr>
        <w:p w:rsidR="531B7A38" w:rsidP="531B7A38" w:rsidRDefault="531B7A38" w14:paraId="58DE79C7" w14:textId="2904561D">
          <w:pPr>
            <w:pStyle w:val="Header"/>
            <w:bidi w:val="0"/>
            <w:jc w:val="center"/>
          </w:pPr>
        </w:p>
      </w:tc>
      <w:tc>
        <w:tcPr>
          <w:tcW w:w="3135" w:type="dxa"/>
          <w:tcMar/>
        </w:tcPr>
        <w:p w:rsidR="531B7A38" w:rsidP="531B7A38" w:rsidRDefault="531B7A38" w14:paraId="4E770491" w14:textId="157EA298">
          <w:pPr>
            <w:pStyle w:val="Header"/>
            <w:bidi w:val="0"/>
            <w:ind w:right="-115"/>
            <w:jc w:val="right"/>
          </w:pPr>
          <w:r w:rsidR="531B7A38">
            <w:rPr/>
            <w:t>Data Room</w:t>
          </w:r>
        </w:p>
        <w:p w:rsidR="531B7A38" w:rsidP="531B7A38" w:rsidRDefault="531B7A38" w14:paraId="5197A0A1" w14:textId="7E910E8A">
          <w:pPr>
            <w:pStyle w:val="Header"/>
            <w:bidi w:val="0"/>
            <w:ind w:right="-115"/>
            <w:jc w:val="right"/>
          </w:pPr>
          <w:r w:rsidR="531B7A38">
            <w:rPr/>
            <w:t>Created at: 11.06.2026</w:t>
          </w:r>
        </w:p>
        <w:p w:rsidR="531B7A38" w:rsidP="531B7A38" w:rsidRDefault="531B7A38" w14:paraId="5479D5A0" w14:textId="6D2AF88C">
          <w:pPr>
            <w:pStyle w:val="Header"/>
            <w:bidi w:val="0"/>
            <w:ind w:right="-115"/>
            <w:jc w:val="right"/>
          </w:pPr>
          <w:r w:rsidR="531B7A38">
            <w:rPr/>
            <w:t>Authored by: Xhurian Shaba</w:t>
          </w:r>
        </w:p>
      </w:tc>
    </w:tr>
  </w:tbl>
  <w:p w:rsidR="531B7A38" w:rsidP="531B7A38" w:rsidRDefault="531B7A38" w14:paraId="4B8EF386" w14:textId="48A7E03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dirty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31B7A3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31B7A3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.xml"/><Relationship Id="rId10" Type="http://schemas.openxmlformats.org/officeDocument/2006/relationships/footer" Target="footer.xml"/></Relationship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9cefd545ed1e4998" /><Relationship Type="http://schemas.openxmlformats.org/officeDocument/2006/relationships/footer" Target="/word/footer.xml" Id="R084a1feab95247cf" /></Relationships>
</file>

<file path=word/_rels/footnotes.xml.rels><?xml version="1.0" encoding="UTF-8"?>
<Relationships xmlns="http://schemas.openxmlformats.org/package/2006/relationships" /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7863703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2026-06-11T12:37:16Z</dcterms:created>
  <dcterms:modified xsi:type="dcterms:W3CDTF">2026-06-11T12:37:16Z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