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market-research-summary"/>
      <w:r>
        <w:t xml:space="preserve">écentic — Market Research Summary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</w:p>
    <w:p>
      <w:pPr>
        <w:pStyle w:val="Heading2"/>
      </w:pPr>
      <w:bookmarkStart w:id="21" w:name="market-thesis"/>
      <w:r>
        <w:t xml:space="preserve">Market thesis</w:t>
      </w:r>
      <w:bookmarkEnd w:id="21"/>
    </w:p>
    <w:p>
      <w:pPr>
        <w:pStyle w:val="FirstParagraph"/>
      </w:pPr>
      <w:r>
        <w:t xml:space="preserve">The agent commerce optimization layer is a venture-scale market emerging in 2026, structurally analogous to the SEO industry that grew up around Google between 2000 and 2010. The catalyst: every major payments network, hyperscaler, and AI model provider shipped commerce-capable agent infrastructure between April 2025 and February 2026.</w:t>
      </w:r>
    </w:p>
    <w:p>
      <w:pPr>
        <w:pStyle w:val="Heading2"/>
      </w:pPr>
      <w:bookmarkStart w:id="22" w:name="market-size"/>
      <w:r>
        <w:t xml:space="preserve">Market size</w:t>
      </w:r>
      <w:bookmarkEnd w:id="22"/>
    </w:p>
    <w:p>
      <w:pPr>
        <w:pStyle w:val="FirstParagraph"/>
      </w:pPr>
      <w:r>
        <w:t xml:space="preserve">We use a top-down sizing model with three layered numbers: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/ methodology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this includes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TAM (Total Addressable Market)</w:t>
            </w:r>
          </w:p>
        </w:tc>
        <w:tc>
          <w:p>
            <w:pPr>
              <w:pStyle w:val="Compact"/>
              <w:jc w:val="left"/>
            </w:pPr>
            <w:r>
              <w:t xml:space="preserve">€3–5 trillion</w:t>
            </w:r>
          </w:p>
        </w:tc>
        <w:tc>
          <w:p>
            <w:pPr>
              <w:pStyle w:val="Compact"/>
              <w:jc w:val="left"/>
            </w:pPr>
            <w:r>
              <w:t xml:space="preserve">McKinsey, January 2026</w:t>
            </w:r>
          </w:p>
        </w:tc>
        <w:tc>
          <w:p>
            <w:pPr>
              <w:pStyle w:val="Compact"/>
              <w:jc w:val="left"/>
            </w:pPr>
            <w:r>
              <w:t xml:space="preserve">Total value of agent-mediated commerce by 2030, globally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 (Serviceable Addressable Market)</w:t>
            </w:r>
          </w:p>
        </w:tc>
        <w:tc>
          <w:p>
            <w:pPr>
              <w:pStyle w:val="Compact"/>
              <w:jc w:val="left"/>
            </w:pPr>
            <w:r>
              <w:t xml:space="preserve">€262 billion</w:t>
            </w:r>
          </w:p>
        </w:tc>
        <w:tc>
          <w:p>
            <w:pPr>
              <w:pStyle w:val="Compact"/>
              <w:jc w:val="left"/>
            </w:pPr>
            <w:r>
              <w:t xml:space="preserve">Salesforce, January 2026</w:t>
            </w:r>
          </w:p>
        </w:tc>
        <w:tc>
          <w:p>
            <w:pPr>
              <w:pStyle w:val="Compact"/>
              <w:jc w:val="left"/>
            </w:pPr>
            <w:r>
              <w:t xml:space="preserve">Agent-influenced retail sales already in market (2025 holiday season)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SOM (Serviceable Obtainable Market)</w:t>
            </w:r>
          </w:p>
        </w:tc>
        <w:tc>
          <w:p>
            <w:pPr>
              <w:pStyle w:val="Compact"/>
              <w:jc w:val="left"/>
            </w:pPr>
            <w:r>
              <w:t xml:space="preserve">€300M+</w:t>
            </w:r>
          </w:p>
        </w:tc>
        <w:tc>
          <w:p>
            <w:pPr>
              <w:pStyle w:val="Compact"/>
              <w:jc w:val="left"/>
            </w:pPr>
            <w:r>
              <w:t xml:space="preserve">Bottom-up from average per-store spend on AI tooling</w:t>
            </w:r>
          </w:p>
        </w:tc>
        <w:tc>
          <w:p>
            <w:pPr>
              <w:pStyle w:val="Compact"/>
              <w:jc w:val="left"/>
            </w:pPr>
            <w:r>
              <w:t xml:space="preserve">Tooling spend by the subset of merchants who will both have agent traffic and pay for optimization</w:t>
            </w:r>
          </w:p>
        </w:tc>
      </w:tr>
    </w:tbl>
    <w:p>
      <w:pPr>
        <w:pStyle w:val="BodyText"/>
      </w:pPr>
      <w:r>
        <w:t xml:space="preserve">The SOM number is built bottom-up: ~150,000 mid-market and enterprise merchants globally will install agent-commerce optimization tools by 2028. At an average spend of ~€2,000/year per merchant on this category of tooling, that’s €300M+ in addressable annual spend.</w:t>
      </w:r>
    </w:p>
    <w:p>
      <w:pPr>
        <w:pStyle w:val="BodyText"/>
      </w:pPr>
      <w:r>
        <w:t xml:space="preserve">The TAM and SAM numbers are about the size of the market being shopped through; the SOM is the slice we can sell into.</w:t>
      </w:r>
    </w:p>
    <w:p>
      <w:pPr>
        <w:pStyle w:val="Heading2"/>
      </w:pPr>
      <w:bookmarkStart w:id="23" w:name="market-timing-why-now"/>
      <w:r>
        <w:t xml:space="preserve">Market timing — why now</w:t>
      </w:r>
      <w:bookmarkEnd w:id="23"/>
    </w:p>
    <w:p>
      <w:pPr>
        <w:pStyle w:val="FirstParagraph"/>
      </w:pPr>
      <w:r>
        <w:t xml:space="preserve">Six events between April 2025 and February 2026 mark the inflection point: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April 2025</w:t>
            </w:r>
          </w:p>
        </w:tc>
        <w:tc>
          <w:p>
            <w:pPr>
              <w:pStyle w:val="Compact"/>
              <w:jc w:val="left"/>
            </w:pPr>
            <w:r>
              <w:t xml:space="preserve">Mastercard unveils Agent Pay</w:t>
            </w:r>
          </w:p>
        </w:tc>
        <w:tc>
          <w:p>
            <w:pPr>
              <w:pStyle w:val="Compact"/>
              <w:jc w:val="left"/>
            </w:pPr>
            <w:r>
              <w:t xml:space="preserve">First merchant framework for agent-initiated transactions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September 2025</w:t>
            </w:r>
          </w:p>
        </w:tc>
        <w:tc>
          <w:p>
            <w:pPr>
              <w:pStyle w:val="Compact"/>
              <w:jc w:val="left"/>
            </w:pPr>
            <w:r>
              <w:t xml:space="preserve">OpenAI + Stripe launch the Agentic Commerce Protocol (ACP). ChatGPT Shopping goes live</w:t>
            </w:r>
          </w:p>
        </w:tc>
        <w:tc>
          <w:p>
            <w:pPr>
              <w:pStyle w:val="Compact"/>
              <w:jc w:val="left"/>
            </w:pPr>
            <w:r>
              <w:t xml:space="preserve">The model provider with the largest consumer reach ships native checkout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September 2025</w:t>
            </w:r>
          </w:p>
        </w:tc>
        <w:tc>
          <w:p>
            <w:pPr>
              <w:pStyle w:val="Compact"/>
              <w:jc w:val="left"/>
            </w:pPr>
            <w:r>
              <w:t xml:space="preserve">Visa announces Trusted Agent Protocol (TAP), Carrefour named launch partner</w:t>
            </w:r>
          </w:p>
        </w:tc>
        <w:tc>
          <w:p>
            <w:pPr>
              <w:pStyle w:val="Compact"/>
              <w:jc w:val="left"/>
            </w:pPr>
            <w:r>
              <w:t xml:space="preserve">The largest payment network commits a flagship enterprise partner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November 2025</w:t>
            </w:r>
          </w:p>
        </w:tc>
        <w:tc>
          <w:p>
            <w:pPr>
              <w:pStyle w:val="Compact"/>
              <w:jc w:val="left"/>
            </w:pPr>
            <w:r>
              <w:t xml:space="preserve">Carrefour completes its first ChatGPT Shopping live rollout</w:t>
            </w:r>
          </w:p>
        </w:tc>
        <w:tc>
          <w:p>
            <w:pPr>
              <w:pStyle w:val="Compact"/>
              <w:jc w:val="left"/>
            </w:pPr>
            <w:r>
              <w:t xml:space="preserve">Real-world enterprise deployment confirms protocol viability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February 2026</w:t>
            </w:r>
          </w:p>
        </w:tc>
        <w:tc>
          <w:p>
            <w:pPr>
              <w:pStyle w:val="Compact"/>
              <w:jc w:val="left"/>
            </w:pPr>
            <w:r>
              <w:t xml:space="preserve">Google Universal Commerce Protocol (UCP) goes live as an open spec</w:t>
            </w:r>
          </w:p>
        </w:tc>
        <w:tc>
          <w:p>
            <w:pPr>
              <w:pStyle w:val="Compact"/>
              <w:jc w:val="left"/>
            </w:pPr>
            <w:r>
              <w:t xml:space="preserve">The largest discovery surface in the world standardizes its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Forecast 2028</w:t>
            </w:r>
          </w:p>
        </w:tc>
        <w:tc>
          <w:p>
            <w:pPr>
              <w:pStyle w:val="Compact"/>
              <w:jc w:val="left"/>
            </w:pPr>
            <w:r>
              <w:t xml:space="preserve">25% of retail search will be agent-mediated (Gartner)</w:t>
            </w:r>
          </w:p>
        </w:tc>
        <w:tc>
          <w:p>
            <w:pPr>
              <w:pStyle w:val="Compact"/>
              <w:jc w:val="left"/>
            </w:pPr>
            <w:r>
              <w:t xml:space="preserve">The trajectory hits the inflection point</w:t>
            </w:r>
          </w:p>
        </w:tc>
      </w:tr>
    </w:tbl>
    <w:p>
      <w:pPr>
        <w:pStyle w:val="BodyText"/>
      </w:pPr>
      <w:r>
        <w:t xml:space="preserve">The combined effect: by mid-2026, every major merchant has the rails available to accept agent-driven traffic, and a meaningful share of consumers have access to agent checkout. What’s missing is the layer that makes merchants competitive within agent shopping decisions — which is écentic.</w:t>
      </w:r>
    </w:p>
    <w:p>
      <w:pPr>
        <w:pStyle w:val="Heading2"/>
      </w:pPr>
      <w:bookmarkStart w:id="24" w:name="competitive-landscape"/>
      <w:r>
        <w:t xml:space="preserve">Competitive landscape</w:t>
      </w:r>
      <w:bookmarkEnd w:id="24"/>
    </w:p>
    <w:p>
      <w:pPr>
        <w:pStyle w:val="FirstParagraph"/>
      </w:pPr>
      <w:r>
        <w:t xml:space="preserve">We classify the competitive landscape into four tiers.</w:t>
      </w:r>
    </w:p>
    <w:p>
      <w:pPr>
        <w:pStyle w:val="Heading3"/>
      </w:pPr>
      <w:bookmarkStart w:id="25" w:name="Xacdff0bd4dd6810559dd5e796592296b97e0322"/>
      <w:r>
        <w:t xml:space="preserve">Tier 1: Adjacent categories we’re explicitly NOT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GEO (Generative Engine Optimization) tools</w:t>
      </w:r>
      <w:r>
        <w:t xml:space="preserve"> </w:t>
      </w:r>
      <w:r>
        <w:t xml:space="preserve">— optimize for being mentioned in chatbot answers. Examples: Profound, Otterly, Athena. They serve a different buyer (content / SEO) and a different outcome (mentions, not carts).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Traditional SEO tools</w:t>
      </w:r>
      <w:r>
        <w:t xml:space="preserve"> </w:t>
      </w:r>
      <w:r>
        <w:t xml:space="preserve">— Ahrefs, SEMrush, etc. Adjacent customer base but different optimization target.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Shopify-native AI features</w:t>
      </w:r>
      <w:r>
        <w:t xml:space="preserve"> </w:t>
      </w:r>
      <w:r>
        <w:t xml:space="preserve">— Shopify’s own generative product description tools. Complementary, not competitive; we tell the merchant</w:t>
      </w:r>
      <w:r>
        <w:t xml:space="preserve"> </w:t>
      </w:r>
      <w:r>
        <w:rPr>
          <w:i/>
        </w:rPr>
        <w:t xml:space="preserve">whether</w:t>
      </w:r>
      <w:r>
        <w:t xml:space="preserve"> </w:t>
      </w:r>
      <w:r>
        <w:t xml:space="preserve">the descriptions actually win against competitors when an agent reads them.</w:t>
      </w:r>
    </w:p>
    <w:p>
      <w:pPr>
        <w:pStyle w:val="Heading3"/>
      </w:pPr>
      <w:bookmarkStart w:id="26" w:name="tier-2-direct-overlap-early-stage"/>
      <w:r>
        <w:t xml:space="preserve">Tier 2: Direct overlap (early-stage)</w:t>
      </w:r>
      <w:bookmarkEnd w:id="26"/>
    </w:p>
    <w:p>
      <w:pPr>
        <w:pStyle w:val="FirstParagraph"/>
      </w:pPr>
      <w:r>
        <w:t xml:space="preserve">We have identified a small number of early-stage companies positioning in adjacent territory: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 commerce monitoring tools</w:t>
      </w:r>
      <w:r>
        <w:t xml:space="preserve"> </w:t>
      </w:r>
      <w:r>
        <w:t xml:space="preserve">— show merchants whether they appear in chatbot answers. Closer to GEO than to écentic; they do not auto-publish or close the loop.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Agent traffic analytics</w:t>
      </w:r>
      <w:r>
        <w:t xml:space="preserve"> </w:t>
      </w:r>
      <w:r>
        <w:t xml:space="preserve">— single-purpose tools that detect AI bots in traffic logs. Single-feature, no optimization workflow attached.</w:t>
      </w:r>
    </w:p>
    <w:p>
      <w:pPr>
        <w:pStyle w:val="FirstParagraph"/>
      </w:pPr>
      <w:r>
        <w:t xml:space="preserve">None of the directly-overlapping early-stage competitors known to us as of June 2026 simulate head-to-head purchase decisions across multiple AI models and auto-publish the fix. We are tracking the public landscape monthly; an updated competitor map is maintained in a separate document and updated quarterly.</w:t>
      </w:r>
    </w:p>
    <w:p>
      <w:pPr>
        <w:pStyle w:val="Heading3"/>
      </w:pPr>
      <w:bookmarkStart w:id="27" w:name="X180eb7cb6d3d07de98a66ed00d25477c45b0ee2"/>
      <w:r>
        <w:t xml:space="preserve">Tier 3: Future enterprise consolidators (5+ years out)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Salesforce, Adobe, HubSpot, Klaviyo — large MarTech platforms that will eventually add an</w:t>
      </w:r>
      <w:r>
        <w:t xml:space="preserve"> </w:t>
      </w:r>
      <w:r>
        <w:t xml:space="preserve">“</w:t>
      </w:r>
      <w:r>
        <w:t xml:space="preserve">agent commerce</w:t>
      </w:r>
      <w:r>
        <w:t xml:space="preserve">”</w:t>
      </w:r>
      <w:r>
        <w:t xml:space="preserve"> </w:t>
      </w:r>
      <w:r>
        <w:t xml:space="preserve">module via build-vs-buy. We’re an attractive acquisition target for this category.</w:t>
      </w:r>
    </w:p>
    <w:p>
      <w:pPr>
        <w:pStyle w:val="Heading3"/>
      </w:pPr>
      <w:bookmarkStart w:id="28" w:name="tier-4-platform-companies"/>
      <w:r>
        <w:t xml:space="preserve">Tier 4: Platform companies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Shopify, BigCommerce, Stripe, Visa, Mastercard, OpenAI, Google. These companies are partners, not competitors. Each could in principle build a competing layer; in practice, none have done so as of June 2026, and several (Plug and Play, Visa) are actively considering distribution partnerships with us.</w:t>
      </w:r>
    </w:p>
    <w:p>
      <w:pPr>
        <w:pStyle w:val="Heading2"/>
      </w:pPr>
      <w:bookmarkStart w:id="29" w:name="X81a1fda19ef98be7aaa0ac2b041344f1dd4beae"/>
      <w:r>
        <w:t xml:space="preserve">Differentiation — three things no competitor does</w:t>
      </w:r>
      <w:bookmarkEnd w:id="29"/>
    </w:p>
    <w:p>
      <w:pPr>
        <w:pStyle w:val="FirstParagraph"/>
      </w:pPr>
      <w:r>
        <w:t xml:space="preserve">This is the moat language we use in the pitch deck and that holds up under scrutiny: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Active simulation.</w:t>
      </w:r>
      <w:r>
        <w:t xml:space="preserve"> </w:t>
      </w:r>
      <w:r>
        <w:t xml:space="preserve">We stage real competitive buying sessions across GPT-4, Claude, Gemini, and Perplexity. We tell the merchant their actual agent win rate — not an estimate, not a sentiment score.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Closed-loop automation.</w:t>
      </w:r>
      <w:r>
        <w:t xml:space="preserve"> </w:t>
      </w:r>
      <w:r>
        <w:t xml:space="preserve">We don’t suggest fixes. We write the fix (title, description, structured data, UCP profile) and publish it to the merchant’s store automatically.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First on UCP + ACP.</w:t>
      </w:r>
      <w:r>
        <w:t xml:space="preserve"> </w:t>
      </w:r>
      <w:r>
        <w:t xml:space="preserve">We are the first tool that scores readiness across both Google’s UCP and OpenAI’s ACP. As these protocols solidify, that first-mover position becomes a defensible distribution advantage.</w:t>
      </w:r>
    </w:p>
    <w:p>
      <w:pPr>
        <w:pStyle w:val="FirstParagraph"/>
      </w:pPr>
      <w:r>
        <w:t xml:space="preserve">The deeper, harder-to-replicate moat is the proprietary corpus: every simulation we run becomes a data point linking listing content to agent behaviour to outcome. With 80 self-serve customers running daily simulations, we accumulate ~50,000 simulations per month within a few months of App Store launch. No competitor — not even a well-resourced one — can backfill that dataset.</w:t>
      </w:r>
    </w:p>
    <w:p>
      <w:pPr>
        <w:pStyle w:val="Heading2"/>
      </w:pPr>
      <w:bookmarkStart w:id="30" w:name="market-risks-and-uncertainties"/>
      <w:r>
        <w:t xml:space="preserve">Market risks and uncertainties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shopping adoption ramps slower than Gartner’s 25%-by-2028 forecast</w:t>
            </w:r>
          </w:p>
        </w:tc>
        <w:tc>
          <w:p>
            <w:pPr>
              <w:pStyle w:val="Compact"/>
              <w:jc w:val="left"/>
            </w:pPr>
            <w:r>
              <w:t xml:space="preserve">Year-1 thesis works even at half the projected adoption rate; the SaaS price points are low enough to attract merchants who are merely</w:t>
            </w:r>
            <w:r>
              <w:t xml:space="preserve"> </w:t>
            </w:r>
            <w:r>
              <w:t xml:space="preserve">“</w:t>
            </w:r>
            <w:r>
              <w:t xml:space="preserve">AI-curious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model provider (e.g., OpenAI) launches its own merchant-facing optimization tool</w:t>
            </w:r>
          </w:p>
        </w:tc>
        <w:tc>
          <w:p>
            <w:pPr>
              <w:pStyle w:val="Compact"/>
              <w:jc w:val="left"/>
            </w:pPr>
            <w:r>
              <w:t xml:space="preserve">We position as model-agnostic; merchants do not want to be locked into a single provider’s view of their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Shopify launches a native agent-optimization feature</w:t>
            </w:r>
          </w:p>
        </w:tc>
        <w:tc>
          <w:p>
            <w:pPr>
              <w:pStyle w:val="Compact"/>
              <w:jc w:val="left"/>
            </w:pPr>
            <w:r>
              <w:t xml:space="preserve">We anticipate this happening within 24 months. Our moat shifts to: (a) cross-platform reach (Woo, BigCommerce, Amazon), (b) the proprietary dataset Shopify cannot replicate. Plus, native Shopify features have historically created the demand for third-party deeper tools, not destroyed it (cf. Klaviyo vs. Shopify Email).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protocols themselves (UCP, ACP, TAP) fragment or compete</w:t>
            </w:r>
          </w:p>
        </w:tc>
        <w:tc>
          <w:p>
            <w:pPr>
              <w:pStyle w:val="Compact"/>
              <w:jc w:val="left"/>
            </w:pPr>
            <w:r>
              <w:t xml:space="preserve">Our work product (titles, descriptions, JSON-LD) is broadly portable. We absorb the protocol complexity on the merchant’s behalf.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regulation tightens around AI training data</w:t>
            </w:r>
          </w:p>
        </w:tc>
        <w:tc>
          <w:p>
            <w:pPr>
              <w:pStyle w:val="Compact"/>
              <w:jc w:val="left"/>
            </w:pPr>
            <w:r>
              <w:t xml:space="preserve">Reinforces our positioning — we have explicit no-training commitments from model providers and never use customer data for training.</w:t>
            </w:r>
          </w:p>
        </w:tc>
      </w:tr>
    </w:tbl>
    <w:p>
      <w:pPr>
        <w:pStyle w:val="Heading2"/>
      </w:pPr>
      <w:bookmarkStart w:id="31" w:name="sources-and-reading-list"/>
      <w:r>
        <w:t xml:space="preserve">Sources and reading list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McKinsey &amp; Company,</w:t>
      </w:r>
      <w:r>
        <w:t xml:space="preserve"> </w:t>
      </w:r>
      <w:r>
        <w:t xml:space="preserve">“</w:t>
      </w:r>
      <w:r>
        <w:t xml:space="preserve">The state of agentic commerce</w:t>
      </w:r>
      <w:r>
        <w:t xml:space="preserve">”</w:t>
      </w:r>
      <w:r>
        <w:t xml:space="preserve">, January 2026</w:t>
      </w:r>
    </w:p>
    <w:p>
      <w:pPr>
        <w:numPr>
          <w:ilvl w:val="0"/>
          <w:numId w:val="1006"/>
        </w:numPr>
        <w:pStyle w:val="Compact"/>
      </w:pPr>
      <w:r>
        <w:t xml:space="preserve">Salesforce,</w:t>
      </w:r>
      <w:r>
        <w:t xml:space="preserve"> </w:t>
      </w:r>
      <w:r>
        <w:t xml:space="preserve">“</w:t>
      </w:r>
      <w:r>
        <w:t xml:space="preserve">Agentic commerce holiday season report</w:t>
      </w:r>
      <w:r>
        <w:t xml:space="preserve">”</w:t>
      </w:r>
      <w:r>
        <w:t xml:space="preserve">, January 2026</w:t>
      </w:r>
    </w:p>
    <w:p>
      <w:pPr>
        <w:numPr>
          <w:ilvl w:val="0"/>
          <w:numId w:val="1006"/>
        </w:numPr>
        <w:pStyle w:val="Compact"/>
      </w:pPr>
      <w:r>
        <w:t xml:space="preserve">Gartner,</w:t>
      </w:r>
      <w:r>
        <w:t xml:space="preserve"> </w:t>
      </w:r>
      <w:r>
        <w:t xml:space="preserve">“</w:t>
      </w:r>
      <w:r>
        <w:t xml:space="preserve">Predicts 2026: Agent-mediated retail search</w:t>
      </w:r>
      <w:r>
        <w:t xml:space="preserve">”</w:t>
      </w:r>
      <w:r>
        <w:t xml:space="preserve">, 2025</w:t>
      </w:r>
    </w:p>
    <w:p>
      <w:pPr>
        <w:numPr>
          <w:ilvl w:val="0"/>
          <w:numId w:val="1006"/>
        </w:numPr>
        <w:pStyle w:val="Compact"/>
      </w:pPr>
      <w:r>
        <w:t xml:space="preserve">Adobe Analytics, Cyber Week 2025 AI traffic report</w:t>
      </w:r>
    </w:p>
    <w:p>
      <w:pPr>
        <w:numPr>
          <w:ilvl w:val="0"/>
          <w:numId w:val="1006"/>
        </w:numPr>
        <w:pStyle w:val="Compact"/>
      </w:pPr>
      <w:r>
        <w:t xml:space="preserve">Visa Trusted Agent Protocol announcement, September 2025</w:t>
      </w:r>
    </w:p>
    <w:p>
      <w:pPr>
        <w:numPr>
          <w:ilvl w:val="0"/>
          <w:numId w:val="1006"/>
        </w:numPr>
        <w:pStyle w:val="Compact"/>
      </w:pPr>
      <w:r>
        <w:t xml:space="preserve">OpenAI + Stripe Agentic Commerce Protocol announcement, September 2025</w:t>
      </w:r>
    </w:p>
    <w:p>
      <w:pPr>
        <w:numPr>
          <w:ilvl w:val="0"/>
          <w:numId w:val="1006"/>
        </w:numPr>
        <w:pStyle w:val="Compact"/>
      </w:pPr>
      <w:r>
        <w:t xml:space="preserve">Google Universal Commerce Protocol open specification, February 2026</w:t>
      </w:r>
    </w:p>
    <w:p>
      <w:pPr>
        <w:numPr>
          <w:ilvl w:val="0"/>
          <w:numId w:val="1006"/>
        </w:numPr>
        <w:pStyle w:val="Compact"/>
      </w:pPr>
      <w:r>
        <w:t xml:space="preserve">Mastercard Agent Pay framework announcement, April 2025</w:t>
      </w:r>
    </w:p>
    <w:p>
      <w:pPr>
        <w:pStyle w:val="FirstParagraph"/>
      </w:pPr>
      <w:r>
        <w:t xml:space="preserve">Internal documents that inform this summary: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docs/context/idea.md</w:t>
      </w:r>
      <w:r>
        <w:t xml:space="preserve"> </w:t>
      </w:r>
      <w:r>
        <w:t xml:space="preserve">— full écentic product specification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docs/context/strategy.md</w:t>
      </w:r>
      <w:r>
        <w:t xml:space="preserve"> </w:t>
      </w:r>
      <w:r>
        <w:t xml:space="preserve">— strategy and retention thinking</w:t>
      </w:r>
      <w:r>
        <w:t xml:space="preserve"> </w:t>
      </w:r>
      <w:r>
        <w:t xml:space="preserve">- Pitch deck (Red Bull Basement Finals 2026 version) and one-pager</w:t>
      </w:r>
    </w:p>
    <w:sectPr w:rsidR="00FC693F" w:rsidRPr="0006063C" w:rsidSect="00034616">
      <w:headerReference xmlns:r="http://schemas.openxmlformats.org/officeDocument/2006/relationships" w:type="default" r:id="rId9"/>
      <w:footerReference xmlns:r="http://schemas.openxmlformats.org/officeDocument/2006/relationships"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1B7A38" w:rsidTr="531B7A38" w14:paraId="29A8EC8A">
      <w:trPr>
        <w:trHeight w:val="300"/>
      </w:trPr>
      <w:tc>
        <w:tcPr>
          <w:tcW w:w="3005" w:type="dxa"/>
          <w:tcMar/>
        </w:tcPr>
        <w:p w:rsidR="531B7A38" w:rsidP="531B7A38" w:rsidRDefault="531B7A38" w14:paraId="36E1DEAD" w14:textId="598CD99D">
          <w:pPr>
            <w:pStyle w:val="Header"/>
            <w:bidi w:val="0"/>
            <w:ind w:left="-115"/>
            <w:jc w:val="left"/>
          </w:pPr>
          <w:r w:rsidR="531B7A38">
            <w:rPr/>
            <w:t>Confidential</w:t>
          </w:r>
        </w:p>
      </w:tc>
      <w:tc>
        <w:tcPr>
          <w:tcW w:w="3005" w:type="dxa"/>
          <w:tcMar/>
        </w:tcPr>
        <w:p w:rsidR="531B7A38" w:rsidP="531B7A38" w:rsidRDefault="531B7A38" w14:paraId="19B02DA2" w14:textId="5429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31B7A38" w:rsidP="531B7A38" w:rsidRDefault="531B7A38" w14:paraId="6D3A759C" w14:textId="4E6685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31B7A38" w:rsidP="531B7A38" w:rsidRDefault="531B7A38" w14:paraId="747AEE13" w14:textId="29315CB8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135"/>
    </w:tblGrid>
    <w:tr w:rsidR="531B7A38" w:rsidTr="531B7A38" w14:paraId="66CA1F85">
      <w:trPr>
        <w:trHeight w:val="300"/>
      </w:trPr>
      <w:tc>
        <w:tcPr>
          <w:tcW w:w="3005" w:type="dxa"/>
          <w:tcMar/>
        </w:tcPr>
        <w:p w:rsidR="531B7A38" w:rsidP="531B7A38" w:rsidRDefault="531B7A38" w14:paraId="5A971497" w14:textId="4C9EEE04">
          <w:pPr>
            <w:pStyle w:val="Header"/>
            <w:bidi w:val="0"/>
            <w:ind w:left="-115"/>
            <w:jc w:val="left"/>
          </w:pPr>
          <w:r w:rsidR="531B7A38">
            <w:drawing>
              <wp:inline wp14:editId="20E48AA8" wp14:anchorId="2DAC9DB7">
                <wp:extent cx="1755521" cy="504825"/>
                <wp:effectExtent l="0" t="0" r="0" b="0"/>
                <wp:docPr id="11661419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6141909" name="Picture 11661419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86370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5048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31B7A38" w:rsidP="531B7A38" w:rsidRDefault="531B7A38" w14:paraId="58DE79C7" w14:textId="2904561D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31B7A38" w:rsidP="531B7A38" w:rsidRDefault="531B7A38" w14:paraId="4E770491" w14:textId="157EA298">
          <w:pPr>
            <w:pStyle w:val="Header"/>
            <w:bidi w:val="0"/>
            <w:ind w:right="-115"/>
            <w:jc w:val="right"/>
          </w:pPr>
          <w:r w:rsidR="531B7A38">
            <w:rPr/>
            <w:t>Data Room</w:t>
          </w:r>
        </w:p>
        <w:p w:rsidR="531B7A38" w:rsidP="531B7A38" w:rsidRDefault="531B7A38" w14:paraId="5197A0A1" w14:textId="7E910E8A">
          <w:pPr>
            <w:pStyle w:val="Header"/>
            <w:bidi w:val="0"/>
            <w:ind w:right="-115"/>
            <w:jc w:val="right"/>
          </w:pPr>
          <w:r w:rsidR="531B7A38">
            <w:rPr/>
            <w:t>Created at: 11.06.2026</w:t>
          </w:r>
        </w:p>
        <w:p w:rsidR="531B7A38" w:rsidP="531B7A38" w:rsidRDefault="531B7A38" w14:paraId="5479D5A0" w14:textId="6D2AF88C">
          <w:pPr>
            <w:pStyle w:val="Header"/>
            <w:bidi w:val="0"/>
            <w:ind w:right="-115"/>
            <w:jc w:val="right"/>
          </w:pPr>
          <w:r w:rsidR="531B7A38">
            <w:rPr/>
            <w:t>Authored by: Xhurian Shaba</w:t>
          </w:r>
        </w:p>
      </w:tc>
    </w:tr>
  </w:tbl>
  <w:p w:rsidR="531B7A38" w:rsidP="531B7A38" w:rsidRDefault="531B7A38" w14:paraId="4B8EF386" w14:textId="48A7E03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.xml"/><Relationship Id="rId10" Type="http://schemas.openxmlformats.org/officeDocument/2006/relationships/footer" Target="footer.xml"/></Relationships>
</file>

<file path=word/_rels/footnotes.xml.rels><?xml version="1.0" encoding="UTF-8"?>
<Relationships xmlns="http://schemas.openxmlformats.org/package/2006/relationships" /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863703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2026-06-02T13:59:59Z</dcterms:created>
  <dcterms:modified xsi:type="dcterms:W3CDTF">2026-06-02T13:59:59Z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