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security-overview"/>
      <w:r>
        <w:t xml:space="preserve">écentic — Security Overview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For:</w:t>
      </w:r>
      <w:r>
        <w:t xml:space="preserve"> </w:t>
      </w:r>
      <w:r>
        <w:t xml:space="preserve">Investor diligence, enterprise customer security review, partner onboarding</w:t>
      </w:r>
      <w:r>
        <w:t xml:space="preserve"> </w:t>
      </w:r>
      <w:r>
        <w:rPr>
          <w:b/>
        </w:rPr>
        <w:t xml:space="preserve">Related:</w:t>
      </w:r>
      <w:r>
        <w:t xml:space="preserve"> </w:t>
      </w:r>
      <w:r>
        <w:rPr>
          <w:rStyle w:val="VerbatimChar"/>
        </w:rPr>
        <w:t xml:space="preserve">gdpr-compliance.pdf</w:t>
      </w:r>
      <w:r>
        <w:t xml:space="preserve"> </w:t>
      </w:r>
      <w:r>
        <w:t xml:space="preserve">(GDPR-specific) ·</w:t>
      </w:r>
      <w:r>
        <w:t xml:space="preserve"> </w:t>
      </w:r>
      <w:r>
        <w:rPr>
          <w:rStyle w:val="VerbatimChar"/>
        </w:rPr>
        <w:t xml:space="preserve">tech-stack-overview.pdf</w:t>
      </w:r>
      <w:r>
        <w:t xml:space="preserve"> </w:t>
      </w:r>
      <w:r>
        <w:t xml:space="preserve">(architecture) ·</w:t>
      </w:r>
      <w:r>
        <w:t xml:space="preserve"> </w:t>
      </w:r>
      <w:r>
        <w:rPr>
          <w:rStyle w:val="VerbatimChar"/>
        </w:rPr>
        <w:t xml:space="preserve">tech-security-agreement-template.pdf</w:t>
      </w:r>
      <w:r>
        <w:t xml:space="preserve"> </w:t>
      </w:r>
      <w:r>
        <w:t xml:space="preserve">(enterprise contractual)</w:t>
      </w:r>
    </w:p>
    <w:p>
      <w:pPr>
        <w:pStyle w:val="BodyText"/>
      </w:pPr>
      <w:r>
        <w:t xml:space="preserve">This document gives a single-page operational view of écentic’s security posture — controls in place, certifications in progress, sub-processors used, and how we respond to incidents. It is updated as the compliance roadmap progresses.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curity-at-a-glance"/>
      <w:r>
        <w:t xml:space="preserve">Security at a glance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Encryption in transit</w:t>
            </w:r>
          </w:p>
        </w:tc>
        <w:tc>
          <w:p>
            <w:pPr>
              <w:pStyle w:val="Compact"/>
              <w:jc w:val="left"/>
            </w:pPr>
            <w:r>
              <w:t xml:space="preserve">TLS 1.2+ everywhere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Encryption at rest</w:t>
            </w:r>
          </w:p>
        </w:tc>
        <w:tc>
          <w:p>
            <w:pPr>
              <w:pStyle w:val="Compact"/>
              <w:jc w:val="left"/>
            </w:pPr>
            <w:r>
              <w:t xml:space="preserve">AES-256 (Postgres + backups + object storage)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 control</w:t>
            </w:r>
          </w:p>
        </w:tc>
        <w:tc>
          <w:p>
            <w:pPr>
              <w:pStyle w:val="Compact"/>
              <w:jc w:val="left"/>
            </w:pPr>
            <w:r>
              <w:t xml:space="preserve">Multi-factor authentication required for all production access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Role-based access</w:t>
            </w:r>
          </w:p>
        </w:tc>
        <w:tc>
          <w:p>
            <w:pPr>
              <w:pStyle w:val="Compact"/>
              <w:jc w:val="left"/>
            </w:pPr>
            <w:r>
              <w:t xml:space="preserve">Principle of least privilege in production; RBAC in customer app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logging</w:t>
            </w:r>
          </w:p>
        </w:tc>
        <w:tc>
          <w:p>
            <w:pPr>
              <w:pStyle w:val="Compact"/>
              <w:jc w:val="left"/>
            </w:pPr>
            <w:r>
              <w:t xml:space="preserve">All production access logged, 12-month retention minimum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EU data residency</w:t>
            </w:r>
          </w:p>
        </w:tc>
        <w:tc>
          <w:p>
            <w:pPr>
              <w:pStyle w:val="Compact"/>
              <w:jc w:val="left"/>
            </w:pPr>
            <w:r>
              <w:t xml:space="preserve">Primary database and application in EU region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model training on customer data</w:t>
            </w:r>
          </w:p>
        </w:tc>
        <w:tc>
          <w:p>
            <w:pPr>
              <w:pStyle w:val="Compact"/>
              <w:jc w:val="left"/>
            </w:pPr>
            <w:r>
              <w:t xml:space="preserve">Contractual + technical guarantee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OAuth scoped reads</w:t>
            </w:r>
          </w:p>
        </w:tc>
        <w:tc>
          <w:p>
            <w:pPr>
              <w:pStyle w:val="Compact"/>
              <w:jc w:val="left"/>
            </w:pPr>
            <w:r>
              <w:t xml:space="preserve">Default for Shopify, WooCommerce; write-back per merchant approval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GDPR compliance</w:t>
            </w:r>
          </w:p>
        </w:tc>
        <w:tc>
          <w:p>
            <w:pPr>
              <w:pStyle w:val="Compact"/>
              <w:jc w:val="left"/>
            </w:pPr>
            <w:r>
              <w:t xml:space="preserve">DPA available, SCCs Module 2 for sub-processor transfers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Vendor security questionnaire pack</w:t>
            </w:r>
          </w:p>
        </w:tc>
        <w:tc>
          <w:p>
            <w:pPr>
              <w:pStyle w:val="Compact"/>
              <w:jc w:val="left"/>
            </w:pPr>
            <w:r>
              <w:t xml:space="preserve">Available on request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SOC 2 Type I</w:t>
            </w:r>
          </w:p>
        </w:tc>
        <w:tc>
          <w:p>
            <w:pPr>
              <w:pStyle w:val="Compact"/>
              <w:jc w:val="left"/>
            </w:pPr>
            <w:r>
              <w:t xml:space="preserve">Vanta engagement signed</w:t>
            </w:r>
          </w:p>
        </w:tc>
        <w:tc>
          <w:p>
            <w:pPr>
              <w:pStyle w:val="Compact"/>
              <w:jc w:val="left"/>
            </w:pPr>
            <w:r>
              <w:t xml:space="preserve">IN PROGRESS (target Q3 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SOC 2 Type II</w:t>
            </w:r>
          </w:p>
        </w:tc>
        <w:tc>
          <w:p>
            <w:pPr>
              <w:pStyle w:val="Compact"/>
              <w:jc w:val="left"/>
            </w:pPr>
            <w:r>
              <w:t xml:space="preserve">Observation window opens after Type I</w:t>
            </w:r>
          </w:p>
        </w:tc>
        <w:tc>
          <w:p>
            <w:pPr>
              <w:pStyle w:val="Compact"/>
              <w:jc w:val="left"/>
            </w:pPr>
            <w:r>
              <w:t xml:space="preserve">PLANNED (target Q1 2027)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ISO 27001</w:t>
            </w:r>
          </w:p>
        </w:tc>
        <w:tc>
          <w:p>
            <w:pPr>
              <w:pStyle w:val="Compact"/>
              <w:jc w:val="left"/>
            </w:pPr>
            <w:r>
              <w:t xml:space="preserve">Scoping phase</w:t>
            </w:r>
          </w:p>
        </w:tc>
        <w:tc>
          <w:p>
            <w:pPr>
              <w:pStyle w:val="Compact"/>
              <w:jc w:val="left"/>
            </w:pPr>
            <w:r>
              <w:t xml:space="preserve">PLANNED (2027)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Third-party penetration test</w:t>
            </w:r>
          </w:p>
        </w:tc>
        <w:tc>
          <w:p>
            <w:pPr>
              <w:pStyle w:val="Compact"/>
              <w:jc w:val="left"/>
            </w:pPr>
            <w:r>
              <w:t xml:space="preserve">Commences post SOC 2 Type I</w:t>
            </w:r>
          </w:p>
        </w:tc>
        <w:tc>
          <w:p>
            <w:pPr>
              <w:pStyle w:val="Compact"/>
              <w:jc w:val="left"/>
            </w:pPr>
            <w:r>
              <w:t xml:space="preserve">PLANNED (Q4 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Bug bounty programme</w:t>
            </w:r>
          </w:p>
        </w:tc>
        <w:tc>
          <w:p>
            <w:pPr>
              <w:pStyle w:val="Compact"/>
              <w:jc w:val="left"/>
            </w:pPr>
            <w:r>
              <w:t xml:space="preserve">To be launched</w:t>
            </w:r>
          </w:p>
        </w:tc>
        <w:tc>
          <w:p>
            <w:pPr>
              <w:pStyle w:val="Compact"/>
              <w:jc w:val="left"/>
            </w:pPr>
            <w:r>
              <w:t xml:space="preserve">PLANNED (2027)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ta-classification-and-handling"/>
      <w:r>
        <w:t xml:space="preserve">Data classification and handling</w:t>
      </w:r>
      <w:bookmarkEnd w:id="22"/>
    </w:p>
    <w:p>
      <w:pPr>
        <w:pStyle w:val="FirstParagraph"/>
      </w:pPr>
      <w:r>
        <w:t xml:space="preserve">We classify the data écentic handles into four categories. Each has a defined handling standard.</w:t>
      </w:r>
    </w:p>
    <w:p>
      <w:pPr>
        <w:pStyle w:val="Heading3"/>
      </w:pPr>
      <w:bookmarkStart w:id="23" w:name="customer-authentication-data"/>
      <w:r>
        <w:t xml:space="preserve">1. Customer Authentication Data</w:t>
      </w:r>
      <w:bookmarkEnd w:id="23"/>
    </w:p>
    <w:p>
      <w:pPr>
        <w:pStyle w:val="FirstParagraph"/>
      </w:pPr>
      <w:r>
        <w:t xml:space="preserve">Name, email, password hash. Stored in Better Auth’s Drizzle-managed tables. Password hashes are bcrypt with cost factor ≥ 12.</w:t>
      </w:r>
    </w:p>
    <w:p>
      <w:pPr>
        <w:pStyle w:val="Heading3"/>
      </w:pPr>
      <w:bookmarkStart w:id="24" w:name="customer-catalogue-data"/>
      <w:r>
        <w:t xml:space="preserve">2. Customer Catalogue Data</w:t>
      </w:r>
      <w:bookmarkEnd w:id="24"/>
    </w:p>
    <w:p>
      <w:pPr>
        <w:pStyle w:val="FirstParagraph"/>
      </w:pPr>
      <w:r>
        <w:t xml:space="preserve">Product titles, descriptions, prices, images, structured data. Pulled from the merchant’s connected store. Owned by the merchant; écentic holds a limited processing licence under the MSA.</w:t>
      </w:r>
    </w:p>
    <w:p>
      <w:pPr>
        <w:pStyle w:val="Heading3"/>
      </w:pPr>
      <w:bookmarkStart w:id="25" w:name="simulation-and-optimisation-records"/>
      <w:r>
        <w:t xml:space="preserve">3. Simulation and Optimisation Records</w:t>
      </w:r>
      <w:bookmarkEnd w:id="25"/>
    </w:p>
    <w:p>
      <w:pPr>
        <w:pStyle w:val="FirstParagraph"/>
      </w:pPr>
      <w:r>
        <w:t xml:space="preserve">The output of our simulation engine: which model picked which product, why, and what we optimised. This is the proprietary data we generate. We retain it for 24 months for the individual merchant; we may also derive aggregated and anonymised data for benchmarks (per the MSA).</w:t>
      </w:r>
    </w:p>
    <w:p>
      <w:pPr>
        <w:pStyle w:val="Heading3"/>
      </w:pPr>
      <w:bookmarkStart w:id="26" w:name="agent-traffic-logs"/>
      <w:r>
        <w:t xml:space="preserve">4. Agent Traffic Logs</w:t>
      </w:r>
      <w:bookmarkEnd w:id="26"/>
    </w:p>
    <w:p>
      <w:pPr>
        <w:pStyle w:val="FirstParagraph"/>
      </w:pPr>
      <w:r>
        <w:t xml:space="preserve">Raw HTTP request data (user-agent, referrer, request fingerprint) used to classify visitors as agent or human. This is not personal data of any individual — it is the digital signature of a software agent.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rchitecture-security"/>
      <w:r>
        <w:t xml:space="preserve">Architecture security</w:t>
      </w:r>
      <w:bookmarkEnd w:id="27"/>
    </w:p>
    <w:p>
      <w:pPr>
        <w:pStyle w:val="FirstParagraph"/>
      </w:pPr>
      <w:r>
        <w:t xml:space="preserve">The écentic platform is built on a security-aware technology stack: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Hosting:</w:t>
      </w:r>
      <w:r>
        <w:t xml:space="preserve"> </w:t>
      </w:r>
      <w:r>
        <w:t xml:space="preserve">Vercel with EU region deployment for the application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Managed PostgreSQL in EU region, with row-level isolation by tenant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Authentication:</w:t>
      </w:r>
      <w:r>
        <w:t xml:space="preserve"> </w:t>
      </w:r>
      <w:r>
        <w:t xml:space="preserve">Better Auth, integrated with Drizzle ORM, multi-factor optional for end users (mandatory for production access by écentic personnel)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AI/LLM providers:</w:t>
      </w:r>
      <w:r>
        <w:t xml:space="preserve"> </w:t>
      </w:r>
      <w:r>
        <w:t xml:space="preserve">Microsoft Azure AI Studio (primary), with secondary direct API access to OpenAI, Anthropic, Google, Perplexity. All providers under contractual no-training-on-customer-data terms.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UploadThing with EU region selectable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Monitoring:</w:t>
      </w:r>
      <w:r>
        <w:t xml:space="preserve"> </w:t>
      </w:r>
      <w:r>
        <w:t xml:space="preserve">Sentry (EU region) for errors; PostHog (EU region) for product analytics with cookie consent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Resend for transactional email</w:t>
      </w:r>
    </w:p>
    <w:p>
      <w:pPr>
        <w:pStyle w:val="FirstParagraph"/>
      </w:pPr>
      <w:r>
        <w:t xml:space="preserve">The application is a single Next.js 16 monolith. No microservices. The simplified architecture reduces attack surface materially compared to a distributed system.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ccess-control-people-not-systems"/>
      <w:r>
        <w:t xml:space="preserve">Access control (people, not systems)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 access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Xhurian Shaba (CEO)</w:t>
            </w:r>
          </w:p>
        </w:tc>
        <w:tc>
          <w:p>
            <w:pPr>
              <w:pStyle w:val="Compact"/>
              <w:jc w:val="left"/>
            </w:pPr>
            <w:r>
              <w:t xml:space="preserve">Full production access (read + write + admin)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Alvi Palloshi (CDO)</w:t>
            </w:r>
          </w:p>
        </w:tc>
        <w:tc>
          <w:p>
            <w:pPr>
              <w:pStyle w:val="Compact"/>
              <w:jc w:val="left"/>
            </w:pPr>
            <w:r>
              <w:t xml:space="preserve">Full production access (read + write + admin)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Iseld Muça (Head of Sales)</w:t>
            </w:r>
          </w:p>
        </w:tc>
        <w:tc>
          <w:p>
            <w:pPr>
              <w:pStyle w:val="Compact"/>
              <w:jc w:val="left"/>
            </w:pPr>
            <w:r>
              <w:t xml:space="preserve">Read-only access to specific data (merchant pipeline, billing)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freelancer</w:t>
            </w:r>
          </w:p>
        </w:tc>
        <w:tc>
          <w:p>
            <w:pPr>
              <w:pStyle w:val="Compact"/>
              <w:jc w:val="left"/>
            </w:pPr>
            <w:r>
              <w:t xml:space="preserve">No production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freelancer</w:t>
            </w:r>
          </w:p>
        </w:tc>
        <w:tc>
          <w:p>
            <w:pPr>
              <w:pStyle w:val="Compact"/>
              <w:jc w:val="left"/>
            </w:pPr>
            <w:r>
              <w:t xml:space="preserve">Read-only access to AI evaluation environment, no customer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 Sales Lead (future hire)</w:t>
            </w:r>
          </w:p>
        </w:tc>
        <w:tc>
          <w:p>
            <w:pPr>
              <w:pStyle w:val="Compact"/>
              <w:jc w:val="left"/>
            </w:pPr>
            <w:r>
              <w:t xml:space="preserve">Read-only access to sales-relevant data (merchant pipeline, billing)</w:t>
            </w:r>
          </w:p>
        </w:tc>
      </w:tr>
    </w:tbl>
    <w:p>
      <w:pPr>
        <w:pStyle w:val="BodyText"/>
      </w:pPr>
      <w:r>
        <w:t xml:space="preserve">All production access requires MFA. All access is logged. Quarterly access reviews are performed and documented.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ub-processors"/>
      <w:r>
        <w:t xml:space="preserve">Sub-processors</w:t>
      </w:r>
      <w:bookmarkEnd w:id="29"/>
    </w:p>
    <w:p>
      <w:pPr>
        <w:pStyle w:val="FirstParagraph"/>
      </w:pPr>
      <w:r>
        <w:t xml:space="preserve">A current sub-processor register is maintained and made available to customers on request. Material sub-processors with their location and transfer mechanism: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Sub-processor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Transfer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EU + US regions available</w:t>
            </w:r>
          </w:p>
        </w:tc>
        <w:tc>
          <w:p>
            <w:pPr>
              <w:pStyle w:val="Compact"/>
              <w:jc w:val="left"/>
            </w:pPr>
            <w:r>
              <w:t xml:space="preserve">Application hosting</w:t>
            </w:r>
          </w:p>
        </w:tc>
        <w:tc>
          <w:p>
            <w:pPr>
              <w:pStyle w:val="Compact"/>
              <w:jc w:val="left"/>
            </w:pPr>
            <w:r>
              <w:t xml:space="preserve">EU region selectable; SCCs for US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Managed PostgreSQL</w:t>
            </w:r>
          </w:p>
        </w:tc>
        <w:tc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p>
            <w:pPr>
              <w:pStyle w:val="Compact"/>
              <w:jc w:val="left"/>
            </w:pPr>
            <w:r>
              <w:t xml:space="preserve">Primary database</w:t>
            </w:r>
          </w:p>
        </w:tc>
        <w:tc>
          <w:p>
            <w:pPr>
              <w:pStyle w:val="Compact"/>
              <w:jc w:val="left"/>
            </w:pPr>
            <w:r>
              <w:t xml:space="preserve">No transfer outside EEA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Azure AI Studio</w:t>
            </w:r>
          </w:p>
        </w:tc>
        <w:tc>
          <w:p>
            <w:pPr>
              <w:pStyle w:val="Compact"/>
              <w:jc w:val="left"/>
            </w:pPr>
            <w:r>
              <w:t xml:space="preserve">EU + US regions available</w:t>
            </w:r>
          </w:p>
        </w:tc>
        <w:tc>
          <w:p>
            <w:pPr>
              <w:pStyle w:val="Compact"/>
              <w:jc w:val="left"/>
            </w:pPr>
            <w:r>
              <w:t xml:space="preserve">Production LLM gateway</w:t>
            </w:r>
          </w:p>
        </w:tc>
        <w:tc>
          <w:p>
            <w:pPr>
              <w:pStyle w:val="Compact"/>
              <w:jc w:val="left"/>
            </w:pPr>
            <w:r>
              <w:t xml:space="preserve">SCCs in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SCCs; OpenAI enterprise terms confirm no training on customer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SCCs; Anthropic enterprise terms confirm no training on customer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Vertex AI</w:t>
            </w:r>
          </w:p>
        </w:tc>
        <w:tc>
          <w:p>
            <w:pPr>
              <w:pStyle w:val="Compact"/>
              <w:jc w:val="left"/>
            </w:pPr>
            <w:r>
              <w:t xml:space="preserve">EU + US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Perplexity API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email</w:t>
            </w:r>
          </w:p>
        </w:tc>
        <w:tc>
          <w:p>
            <w:pPr>
              <w:pStyle w:val="Compact"/>
              <w:jc w:val="left"/>
            </w:pPr>
            <w:r>
              <w:t xml:space="preserve">SCCs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UploadThing</w:t>
            </w:r>
          </w:p>
        </w:tc>
        <w:tc>
          <w:p>
            <w:pPr>
              <w:pStyle w:val="Compact"/>
              <w:jc w:val="left"/>
            </w:pPr>
            <w:r>
              <w:t xml:space="preserve">US + EU</w:t>
            </w:r>
          </w:p>
        </w:tc>
        <w:tc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p>
            <w:pPr>
              <w:pStyle w:val="Compact"/>
              <w:jc w:val="left"/>
            </w:pPr>
            <w:r>
              <w:t xml:space="preserve">EU region selectable; SCCs for 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p>
            <w:pPr>
              <w:pStyle w:val="Compact"/>
              <w:jc w:val="left"/>
            </w:pPr>
            <w:r>
              <w:t xml:space="preserve">Error tracking</w:t>
            </w:r>
          </w:p>
        </w:tc>
        <w:tc>
          <w:p>
            <w:pPr>
              <w:pStyle w:val="Compact"/>
              <w:jc w:val="left"/>
            </w:pPr>
            <w:r>
              <w:t xml:space="preserve">EU region used by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PostHog</w:t>
            </w:r>
          </w:p>
        </w:tc>
        <w:tc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p>
            <w:pPr>
              <w:pStyle w:val="Compact"/>
              <w:jc w:val="left"/>
            </w:pPr>
            <w:r>
              <w:t xml:space="preserve">Product analytics</w:t>
            </w:r>
          </w:p>
        </w:tc>
        <w:tc>
          <w:p>
            <w:pPr>
              <w:pStyle w:val="Compact"/>
              <w:jc w:val="left"/>
            </w:pPr>
            <w:r>
              <w:t xml:space="preserve">EU region by default; cookie consent enforced</w:t>
            </w:r>
          </w:p>
        </w:tc>
      </w:tr>
    </w:tbl>
    <w:p>
      <w:pPr>
        <w:pStyle w:val="BodyText"/>
      </w:pPr>
      <w:r>
        <w:t xml:space="preserve">Any new sub-processor is added to the register, customers notified 30 days in advance, and customers may object during that period.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vulnerability-management"/>
      <w:r>
        <w:t xml:space="preserve">Vulnerability management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Automated dependency scanning:</w:t>
      </w:r>
      <w:r>
        <w:t xml:space="preserve"> </w:t>
      </w:r>
      <w:r>
        <w:t xml:space="preserve">runs on every commit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Manual code review:</w:t>
      </w:r>
      <w:r>
        <w:t xml:space="preserve"> </w:t>
      </w:r>
      <w:r>
        <w:t xml:space="preserve">every production change reviewed by at least one founder (typically Alvi for security-relevant changes)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Periodic internal review:</w:t>
      </w:r>
      <w:r>
        <w:t xml:space="preserve"> </w:t>
      </w:r>
      <w:r>
        <w:t xml:space="preserve">quarterly review of critical components (auth, billing, data access)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Third-party penetration test:</w:t>
      </w:r>
      <w:r>
        <w:t xml:space="preserve"> </w:t>
      </w:r>
      <w:r>
        <w:t xml:space="preserve">planned to commence post SOC 2 Type I (target Q4 2026); annual cadence thereafter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Bug bounty programme:</w:t>
      </w:r>
      <w:r>
        <w:t xml:space="preserve"> </w:t>
      </w:r>
      <w:r>
        <w:t xml:space="preserve">planned for 2027, scoped to non-destructive testing of the production environment with a defined reward schedule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Patching SLA:</w:t>
      </w:r>
    </w:p>
    <w:p>
      <w:pPr>
        <w:numPr>
          <w:ilvl w:val="1"/>
          <w:numId w:val="1003"/>
        </w:numPr>
        <w:pStyle w:val="Compact"/>
      </w:pPr>
      <w:r>
        <w:t xml:space="preserve">Critical CVEs: 7 days</w:t>
      </w:r>
    </w:p>
    <w:p>
      <w:pPr>
        <w:numPr>
          <w:ilvl w:val="1"/>
          <w:numId w:val="1003"/>
        </w:numPr>
        <w:pStyle w:val="Compact"/>
      </w:pPr>
      <w:r>
        <w:t xml:space="preserve">High CVEs: 30 days</w:t>
      </w:r>
    </w:p>
    <w:p>
      <w:pPr>
        <w:numPr>
          <w:ilvl w:val="1"/>
          <w:numId w:val="1003"/>
        </w:numPr>
        <w:pStyle w:val="Compact"/>
      </w:pPr>
      <w:r>
        <w:t xml:space="preserve">Medium / low: bundled with the next scheduled release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incident-response"/>
      <w:r>
        <w:t xml:space="preserve">Incident response</w:t>
      </w:r>
      <w:bookmarkEnd w:id="31"/>
    </w:p>
    <w:p>
      <w:pPr>
        <w:pStyle w:val="Heading3"/>
      </w:pPr>
      <w:bookmarkStart w:id="32" w:name="incident-classification"/>
      <w:r>
        <w:t xml:space="preserve">Incident classification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Severity 1 — Production down:</w:t>
      </w:r>
      <w:r>
        <w:t xml:space="preserve"> </w:t>
      </w:r>
      <w:r>
        <w:t xml:space="preserve">customer-facing service unavailable, or confirmed data breach. Immediate response.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Severity 2 — Significant degradation:</w:t>
      </w:r>
      <w:r>
        <w:t xml:space="preserve"> </w:t>
      </w:r>
      <w:r>
        <w:t xml:space="preserve">material feature unavailable; security concern under investigation. Response within 8 hours.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Severity 3 — Minor issue:</w:t>
      </w:r>
      <w:r>
        <w:t xml:space="preserve"> </w:t>
      </w:r>
      <w:r>
        <w:t xml:space="preserve">isolated bug or minor security observation. Response within 1 business day.</w:t>
      </w:r>
    </w:p>
    <w:p>
      <w:pPr>
        <w:pStyle w:val="Heading3"/>
      </w:pPr>
      <w:bookmarkStart w:id="33" w:name="personal-data-breach-response"/>
      <w:r>
        <w:t xml:space="preserve">Personal data breach response</w:t>
      </w:r>
      <w:bookmarkEnd w:id="33"/>
    </w:p>
    <w:p>
      <w:pPr>
        <w:pStyle w:val="FirstParagraph"/>
      </w:pPr>
      <w:r>
        <w:t xml:space="preserve">If a Personal Data Breach is confirmed:</w:t>
      </w:r>
      <w:r>
        <w:t xml:space="preserve"> </w:t>
      </w:r>
      <w:r>
        <w:t xml:space="preserve">1. Internal escalation to CEO within 4 hours of detection</w:t>
      </w:r>
      <w:r>
        <w:t xml:space="preserve"> </w:t>
      </w:r>
      <w:r>
        <w:t xml:space="preserve">2. Preliminary risk assessment within 24 hours</w:t>
      </w:r>
      <w:r>
        <w:t xml:space="preserve"> </w:t>
      </w:r>
      <w:r>
        <w:t xml:space="preserve">3. Supervisory authority notification (Albanian Information and Data Protection Commissioner; relevant EU/UK supervisory authority where applicable) within 72 hours of confirmed determination</w:t>
      </w:r>
      <w:r>
        <w:t xml:space="preserve"> </w:t>
      </w:r>
      <w:r>
        <w:t xml:space="preserve">4. Affected customer notification per the MSA / DPA</w:t>
      </w:r>
      <w:r>
        <w:t xml:space="preserve"> </w:t>
      </w:r>
      <w:r>
        <w:t xml:space="preserve">5. Affected data subject notification</w:t>
      </w:r>
      <w:r>
        <w:t xml:space="preserve"> </w:t>
      </w:r>
      <w:r>
        <w:t xml:space="preserve">“</w:t>
      </w:r>
      <w:r>
        <w:t xml:space="preserve">without undue delay</w:t>
      </w:r>
      <w:r>
        <w:t xml:space="preserve">”</w:t>
      </w:r>
      <w:r>
        <w:t xml:space="preserve"> </w:t>
      </w:r>
      <w:r>
        <w:t xml:space="preserve">if high risk to rights and freedoms</w:t>
      </w:r>
      <w:r>
        <w:t xml:space="preserve"> </w:t>
      </w:r>
      <w:r>
        <w:t xml:space="preserve">6. Post-incident review and Article 33(5) record completed within 14 days</w:t>
      </w:r>
    </w:p>
    <w:p>
      <w:pPr>
        <w:pStyle w:val="BodyText"/>
      </w:pPr>
      <w:r>
        <w:t xml:space="preserve">No personal data breach has occurred as of 2 June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usiness-continuity"/>
      <w:r>
        <w:t xml:space="preserve">Business continuity</w:t>
      </w:r>
      <w:bookmarkEnd w:id="34"/>
    </w:p>
    <w:p>
      <w:pPr>
        <w:pStyle w:val="Heading3"/>
      </w:pPr>
      <w:bookmarkStart w:id="35" w:name="backups"/>
      <w:r>
        <w:t xml:space="preserve">Backups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Customer database backed up at minimum daily; retention 30 days</w:t>
      </w:r>
    </w:p>
    <w:p>
      <w:pPr>
        <w:numPr>
          <w:ilvl w:val="0"/>
          <w:numId w:val="1005"/>
        </w:numPr>
        <w:pStyle w:val="Compact"/>
      </w:pPr>
      <w:r>
        <w:t xml:space="preserve">Application code held in version control with multi-author access</w:t>
      </w:r>
    </w:p>
    <w:p>
      <w:pPr>
        <w:numPr>
          <w:ilvl w:val="0"/>
          <w:numId w:val="1005"/>
        </w:numPr>
        <w:pStyle w:val="Compact"/>
      </w:pPr>
      <w:r>
        <w:t xml:space="preserve">Documented and tested restore procedure (quarterly test)</w:t>
      </w:r>
    </w:p>
    <w:p>
      <w:pPr>
        <w:pStyle w:val="Heading3"/>
      </w:pPr>
      <w:bookmarkStart w:id="36" w:name="recovery-objectives"/>
      <w:r>
        <w:t xml:space="preserve">Recovery objectives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Recovery Time Objective (RTO):</w:t>
      </w:r>
      <w:r>
        <w:t xml:space="preserve"> </w:t>
      </w:r>
      <w:r>
        <w:t xml:space="preserve">24 hours from incident declaration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Recovery Point Objective (RPO):</w:t>
      </w:r>
      <w:r>
        <w:t xml:space="preserve"> </w:t>
      </w:r>
      <w:r>
        <w:t xml:space="preserve">up to 24 hours of potential data loss for the worst-case scenario</w:t>
      </w:r>
    </w:p>
    <w:p>
      <w:pPr>
        <w:pStyle w:val="Heading3"/>
      </w:pPr>
      <w:bookmarkStart w:id="37" w:name="geographic-redundancy"/>
      <w:r>
        <w:t xml:space="preserve">Geographic redundancy</w:t>
      </w:r>
      <w:bookmarkEnd w:id="37"/>
    </w:p>
    <w:p>
      <w:pPr>
        <w:pStyle w:val="FirstParagraph"/>
      </w:pPr>
      <w:r>
        <w:t xml:space="preserve">At enterprise tier, multi-region backup replication is available on request.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mpliance-roadmap"/>
      <w:r>
        <w:t xml:space="preserve">Compliance roadmap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Compliance 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p>
            <w:pPr>
              <w:pStyle w:val="Compact"/>
              <w:jc w:val="left"/>
            </w:pPr>
            <w:r>
              <w:t xml:space="preserve">SOC 2 Type I audit complete (Vanta engagement signed; observation period started Q1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p>
            <w:pPr>
              <w:pStyle w:val="Compact"/>
              <w:jc w:val="left"/>
            </w:pPr>
            <w:r>
              <w:t xml:space="preserve">First annual third-party penetration test conducted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p>
            <w:pPr>
              <w:pStyle w:val="Compact"/>
              <w:jc w:val="left"/>
            </w:pPr>
            <w:r>
              <w:t xml:space="preserve">SOC 2 Type II observation window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p>
            <w:pPr>
              <w:pStyle w:val="Compact"/>
              <w:jc w:val="left"/>
            </w:pPr>
            <w:r>
              <w:t xml:space="preserve">SOC 2 Type II audit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 2027</w:t>
            </w:r>
          </w:p>
        </w:tc>
        <w:tc>
          <w:p>
            <w:pPr>
              <w:pStyle w:val="Compact"/>
              <w:jc w:val="left"/>
            </w:pPr>
            <w:r>
              <w:t xml:space="preserve">ISO 27001 scoping decision; if scoped, target certification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2027</w:t>
            </w:r>
          </w:p>
        </w:tc>
        <w:tc>
          <w:p>
            <w:pPr>
              <w:pStyle w:val="Compact"/>
              <w:jc w:val="left"/>
            </w:pPr>
            <w:r>
              <w:t xml:space="preserve">Bug bounty programme launched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how-to-get-more"/>
      <w:r>
        <w:t xml:space="preserve">How to get more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Customer security review:</w:t>
      </w:r>
      <w:r>
        <w:t xml:space="preserve"> </w:t>
      </w:r>
      <w:r>
        <w:t xml:space="preserve">request the Vendor Security Questionnaire pack from security@ecentic.ai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Penetration test results:</w:t>
      </w:r>
      <w:r>
        <w:t xml:space="preserve"> </w:t>
      </w:r>
      <w:r>
        <w:t xml:space="preserve">shared with enterprise customers under NDA after each annual test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SOC 2 reports:</w:t>
      </w:r>
      <w:r>
        <w:t xml:space="preserve"> </w:t>
      </w:r>
      <w:r>
        <w:t xml:space="preserve">shared with customers under NDA once available (Q3 2026 for Type I)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Bug reports:</w:t>
      </w:r>
      <w:r>
        <w:t xml:space="preserve"> </w:t>
      </w:r>
      <w:r>
        <w:t xml:space="preserve">security@ecentic.ai (PGP available on request)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Incident notifications:</w:t>
      </w:r>
      <w:r>
        <w:t xml:space="preserve"> </w:t>
      </w:r>
      <w:r>
        <w:t xml:space="preserve">all material security incidents are communicated to enterprise customers within the SLAs above</w:t>
      </w:r>
    </w:p>
    <w:sectPr/>
    <w:headerReference xmlns:r="http://schemas.openxmlformats.org/officeDocument/2006/relationships" w:type="default" r:id="rId9"/>
    <w:footerReference xmlns:r="http://schemas.openxmlformats.org/officeDocument/2006/relationships" w:type="default" r:id="rId1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dirty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cefd545ed1e4998" /><Relationship Type="http://schemas.openxmlformats.org/officeDocument/2006/relationships/footer" Target="/word/footer.xml" Id="R084a1feab95247cf" 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2026-06-11T12:37:16Z</dcterms:created>
  <dcterms:modified xsi:type="dcterms:W3CDTF">2026-06-11T12:37:16Z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