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19B" w:rsidRPr="00886504" w:rsidRDefault="00F9319B" w:rsidP="00F9319B">
      <w:pPr>
        <w:rPr>
          <w:b/>
          <w:bCs/>
          <w:sz w:val="36"/>
          <w:szCs w:val="36"/>
        </w:rPr>
      </w:pPr>
      <w:r w:rsidRPr="00886504">
        <w:rPr>
          <w:b/>
          <w:bCs/>
          <w:sz w:val="36"/>
          <w:szCs w:val="36"/>
        </w:rPr>
        <w:t>DISPLACED INFO:</w:t>
      </w:r>
    </w:p>
    <w:p w:rsidR="00F9319B" w:rsidRDefault="00F9319B" w:rsidP="00F9319B">
      <w:r w:rsidRPr="00E020B0">
        <w:t>The general first-order differential equation is represented as:</w:t>
      </w:r>
    </w:p>
    <w:p w:rsidR="00F9319B" w:rsidRDefault="00277D86" w:rsidP="00F9319B">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F9319B" w:rsidRPr="00334419" w:rsidRDefault="00F9319B" w:rsidP="00F9319B">
      <w:r w:rsidRPr="00E020B0">
        <w:t>The general first-order differential equation is represented as:</w:t>
      </w:r>
    </w:p>
    <w:p w:rsidR="00F9319B" w:rsidRPr="00202004" w:rsidRDefault="00277D86" w:rsidP="00F9319B">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F9319B" w:rsidRPr="00B8233D" w:rsidRDefault="00F9319B" w:rsidP="00F9319B">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F9319B" w:rsidRDefault="00F9319B" w:rsidP="00F9319B">
      <w:pPr>
        <w:rPr>
          <w:rFonts w:eastAsiaTheme="minorEastAsia"/>
        </w:rPr>
      </w:pPr>
      <w:r>
        <w:rPr>
          <w:rFonts w:eastAsiaTheme="minorEastAsia"/>
        </w:rPr>
        <w:t>Finally, the new weights can be calculated using the error defined previously:</w:t>
      </w:r>
    </w:p>
    <w:p w:rsidR="00F9319B" w:rsidRPr="00202004" w:rsidRDefault="00277D86" w:rsidP="00F9319B">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F9319B" w:rsidRDefault="00F9319B" w:rsidP="00897A33">
      <w:pPr>
        <w:pStyle w:val="ListParagraph"/>
        <w:jc w:val="center"/>
        <w:rPr>
          <w:b/>
          <w:bCs/>
          <w:sz w:val="36"/>
          <w:szCs w:val="36"/>
          <w:highlight w:val="yellow"/>
        </w:rPr>
      </w:pPr>
    </w:p>
    <w:p w:rsidR="00F9319B" w:rsidRDefault="00F9319B" w:rsidP="00897A33">
      <w:pPr>
        <w:pStyle w:val="ListParagraph"/>
        <w:jc w:val="center"/>
        <w:rPr>
          <w:b/>
          <w:bCs/>
          <w:sz w:val="36"/>
          <w:szCs w:val="36"/>
          <w:highlight w:val="yellow"/>
        </w:rPr>
      </w:pPr>
    </w:p>
    <w:p w:rsidR="00897A33" w:rsidRDefault="00897A33" w:rsidP="00897A33">
      <w:pPr>
        <w:pStyle w:val="ListParagraph"/>
        <w:jc w:val="center"/>
        <w:rPr>
          <w:b/>
          <w:bCs/>
          <w:sz w:val="36"/>
          <w:szCs w:val="36"/>
        </w:rPr>
      </w:pPr>
      <w:r w:rsidRPr="00897A33">
        <w:rPr>
          <w:b/>
          <w:bCs/>
          <w:sz w:val="36"/>
          <w:szCs w:val="36"/>
          <w:highlight w:val="yellow"/>
        </w:rPr>
        <w:t>Abstract</w:t>
      </w:r>
    </w:p>
    <w:p w:rsidR="00897A33" w:rsidRDefault="00897A33" w:rsidP="00897A33">
      <w:pPr>
        <w:pStyle w:val="ListParagraph"/>
        <w:jc w:val="center"/>
        <w:rPr>
          <w:b/>
          <w:bCs/>
          <w:sz w:val="36"/>
          <w:szCs w:val="36"/>
        </w:rPr>
      </w:pPr>
      <w:r w:rsidRPr="001F38AA">
        <w:rPr>
          <w:b/>
          <w:bCs/>
          <w:sz w:val="36"/>
          <w:szCs w:val="36"/>
          <w:highlight w:val="yellow"/>
        </w:rPr>
        <w:t>WRITE THIS WHEN THE WORK IS DONE</w:t>
      </w:r>
    </w:p>
    <w:p w:rsidR="007362E5" w:rsidRDefault="007362E5"/>
    <w:p w:rsidR="00897A33" w:rsidRDefault="00897A33" w:rsidP="00897A33">
      <w:pPr>
        <w:pStyle w:val="ListParagraph"/>
        <w:numPr>
          <w:ilvl w:val="0"/>
          <w:numId w:val="1"/>
        </w:numPr>
        <w:jc w:val="center"/>
        <w:rPr>
          <w:b/>
          <w:bCs/>
          <w:sz w:val="36"/>
          <w:szCs w:val="36"/>
        </w:rPr>
      </w:pPr>
      <w:r>
        <w:rPr>
          <w:b/>
          <w:bCs/>
          <w:sz w:val="36"/>
          <w:szCs w:val="36"/>
        </w:rPr>
        <w:t>Introduction</w:t>
      </w:r>
    </w:p>
    <w:p w:rsidR="00897A33" w:rsidRPr="00897A33" w:rsidRDefault="00897A33" w:rsidP="00897A33">
      <w:pPr>
        <w:pStyle w:val="ListParagraph"/>
        <w:rPr>
          <w:sz w:val="28"/>
          <w:szCs w:val="28"/>
        </w:rPr>
      </w:pPr>
    </w:p>
    <w:p w:rsidR="00897A33" w:rsidRPr="00897A33" w:rsidRDefault="00897A33" w:rsidP="00897A33">
      <w:pPr>
        <w:rPr>
          <w:rFonts w:cstheme="minorHAnsi"/>
          <w:color w:val="273B68"/>
          <w:sz w:val="28"/>
          <w:szCs w:val="28"/>
          <w:shd w:val="clear" w:color="auto" w:fill="FFFFFF"/>
        </w:rPr>
      </w:pPr>
      <w:r w:rsidRPr="00897A33">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Pr="00897A33">
        <w:rPr>
          <w:rFonts w:cstheme="minorHAnsi"/>
          <w:sz w:val="28"/>
          <w:szCs w:val="28"/>
          <w:highlight w:val="lightGray"/>
        </w:rPr>
        <w:t>Ordinary differential equations</w:t>
      </w:r>
      <w:r w:rsidRPr="00897A33">
        <w:rPr>
          <w:rFonts w:cstheme="minorHAnsi"/>
          <w:color w:val="273B68"/>
          <w:sz w:val="28"/>
          <w:szCs w:val="28"/>
          <w:highlight w:val="lightGray"/>
          <w:shd w:val="clear" w:color="auto" w:fill="FFFFFF"/>
        </w:rPr>
        <w:t xml:space="preserve"> (ODEs) 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897A33">
        <w:rPr>
          <w:rFonts w:cstheme="minorHAnsi"/>
          <w:color w:val="273B68"/>
          <w:sz w:val="28"/>
          <w:szCs w:val="28"/>
          <w:highlight w:val="lightGray"/>
          <w:shd w:val="clear" w:color="auto" w:fill="FFFFFF"/>
        </w:rPr>
        <w:t>runge-kutta</w:t>
      </w:r>
      <w:proofErr w:type="spellEnd"/>
      <w:r w:rsidRPr="00897A33">
        <w:rPr>
          <w:rFonts w:cstheme="minorHAnsi"/>
          <w:color w:val="273B68"/>
          <w:sz w:val="28"/>
          <w:szCs w:val="28"/>
          <w:highlight w:val="lightGray"/>
          <w:shd w:val="clear" w:color="auto" w:fill="FFFFFF"/>
        </w:rPr>
        <w:t xml:space="preserve"> method have been the methods of choice to try to overcome these challenges. Their Still, however, does exist a limitation, chisels and holes cannot provide closed solutions and have </w:t>
      </w:r>
      <w:r w:rsidRPr="00897A33">
        <w:rPr>
          <w:rFonts w:cstheme="minorHAnsi"/>
          <w:color w:val="273B68"/>
          <w:sz w:val="28"/>
          <w:szCs w:val="28"/>
          <w:highlight w:val="lightGray"/>
          <w:shd w:val="clear" w:color="auto" w:fill="FFFFFF"/>
        </w:rPr>
        <w:lastRenderedPageBreak/>
        <w:t>scrupulous computing power requirements that have resulted in the investigation of alternative methods for solving ODEs [1-3, 5, 12, 13].</w:t>
      </w:r>
    </w:p>
    <w:p w:rsidR="00897A33" w:rsidRDefault="00897A33" w:rsidP="00897A33">
      <w:pPr>
        <w:rPr>
          <w:sz w:val="28"/>
          <w:szCs w:val="28"/>
        </w:rPr>
      </w:pPr>
      <w:r w:rsidRPr="00344722">
        <w:rPr>
          <w:sz w:val="28"/>
          <w:szCs w:val="28"/>
          <w:highlight w:val="lightGray"/>
        </w:rPr>
        <w:t xml:space="preserve">Artificial Neural Networks (ANNs) however introduced new constructs for the global solution to such ODEs by </w:t>
      </w:r>
      <w:proofErr w:type="spellStart"/>
      <w:r w:rsidRPr="00344722">
        <w:rPr>
          <w:sz w:val="28"/>
          <w:szCs w:val="28"/>
          <w:highlight w:val="lightGray"/>
        </w:rPr>
        <w:t>recontextualizing</w:t>
      </w:r>
      <w:proofErr w:type="spellEnd"/>
      <w:r w:rsidRPr="00344722">
        <w:rPr>
          <w:sz w:val="28"/>
          <w:szCs w:val="28"/>
          <w:highlight w:val="lightGray"/>
        </w:rPr>
        <w:t xml:space="preserve"> the problem as an optimization framework. Initial studies indicate that multilayer </w:t>
      </w:r>
      <w:proofErr w:type="spellStart"/>
      <w:r w:rsidRPr="00344722">
        <w:rPr>
          <w:sz w:val="28"/>
          <w:szCs w:val="28"/>
          <w:highlight w:val="lightGray"/>
        </w:rPr>
        <w:t>perceptrons</w:t>
      </w:r>
      <w:proofErr w:type="spellEnd"/>
      <w:r w:rsidRPr="00344722">
        <w:rPr>
          <w:sz w:val="28"/>
          <w:szCs w:val="28"/>
          <w:highlight w:val="lightGray"/>
        </w:rPr>
        <w:t xml:space="preserve"> can be efficient in approximation solutions to Initial Value Problems (IVPs) Models and also Boundary Value Problems (BVPs) Models.</w:t>
      </w:r>
    </w:p>
    <w:p w:rsidR="00897A33" w:rsidRPr="00FB5FBF" w:rsidRDefault="00897A33" w:rsidP="00897A33">
      <w:pPr>
        <w:rPr>
          <w:sz w:val="28"/>
          <w:szCs w:val="28"/>
          <w:highlight w:val="lightGray"/>
        </w:rPr>
      </w:pPr>
      <w:r w:rsidRPr="00FB5FBF">
        <w:rPr>
          <w:sz w:val="28"/>
          <w:szCs w:val="28"/>
          <w:highlight w:val="lightGray"/>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 On the other hand, the first generation of models based on ANNs had several challenges among which were the pronounced vulnerability to convergence at local minima and suboptimal rates of convergence [1].</w:t>
      </w:r>
    </w:p>
    <w:p w:rsidR="00897A33" w:rsidRDefault="00897A33" w:rsidP="00897A33">
      <w:pPr>
        <w:rPr>
          <w:sz w:val="28"/>
          <w:szCs w:val="28"/>
        </w:rPr>
      </w:pPr>
      <w:r w:rsidRPr="00FB5FBF">
        <w:rPr>
          <w:sz w:val="28"/>
          <w:szCs w:val="28"/>
          <w:highlight w:val="lightGray"/>
        </w:rPr>
        <w:t xml:space="preserve">As a solution to the shortcomings of the ANNs mentioned, new generation advanced architectures such as Radial Basis Function Neural Networks(RBFNNs) [2, 3, 12] and Wavelet Neural Networks (WNNs) [1]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w:t>
      </w:r>
      <w:proofErr w:type="gramStart"/>
      <w:r w:rsidRPr="00FB5FBF">
        <w:rPr>
          <w:sz w:val="28"/>
          <w:szCs w:val="28"/>
          <w:highlight w:val="lightGray"/>
        </w:rPr>
        <w:t>networks[</w:t>
      </w:r>
      <w:proofErr w:type="gramEnd"/>
      <w:r w:rsidRPr="00FB5FBF">
        <w:rPr>
          <w:sz w:val="28"/>
          <w:szCs w:val="28"/>
          <w:highlight w:val="lightGray"/>
        </w:rPr>
        <w:t>1].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897A33" w:rsidRDefault="00897A33" w:rsidP="00897A33">
      <w:pPr>
        <w:rPr>
          <w:sz w:val="28"/>
          <w:szCs w:val="28"/>
        </w:rPr>
      </w:pPr>
      <w:r w:rsidRPr="00FB5FBF">
        <w:rPr>
          <w:sz w:val="28"/>
          <w:szCs w:val="28"/>
          <w:highlight w:val="lightGray"/>
        </w:rPr>
        <w:t xml:space="preserve">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w:t>
      </w:r>
      <w:r w:rsidRPr="00FB5FBF">
        <w:rPr>
          <w:sz w:val="28"/>
          <w:szCs w:val="28"/>
          <w:highlight w:val="lightGray"/>
        </w:rPr>
        <w:lastRenderedPageBreak/>
        <w:t>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97A33" w:rsidRDefault="00897A33" w:rsidP="00897A33">
      <w:pPr>
        <w:rPr>
          <w:rFonts w:cstheme="minorHAnsi"/>
          <w:color w:val="172B4D"/>
          <w:sz w:val="28"/>
          <w:szCs w:val="28"/>
          <w:shd w:val="clear" w:color="auto" w:fill="FFFFFF"/>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Pr="00255BD7">
        <w:rPr>
          <w:rFonts w:cstheme="minorHAnsi"/>
          <w:sz w:val="28"/>
          <w:szCs w:val="28"/>
          <w:highlight w:val="lightGray"/>
        </w:rPr>
        <w:t xml:space="preserve">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the high rates of convergence and </w:t>
      </w:r>
      <w:r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897A33" w:rsidRPr="00E01972" w:rsidRDefault="00897A33" w:rsidP="00897A33">
      <w:pPr>
        <w:rPr>
          <w:sz w:val="28"/>
          <w:szCs w:val="28"/>
          <w:highlight w:val="lightGray"/>
        </w:rPr>
      </w:pPr>
      <w:r w:rsidRPr="00E01972">
        <w:rPr>
          <w:sz w:val="28"/>
          <w:szCs w:val="28"/>
          <w:highlight w:val="lightGray"/>
        </w:rPr>
        <w:lastRenderedPageBreak/>
        <w:t>Notwithstanding the advancements made in this field, significant deficiencies persist in the literature concerning the application of KAN to ODEs. Although the Kolmogorov-Arnold theorem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897A33" w:rsidRDefault="00897A33" w:rsidP="00897A33">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w:t>
      </w:r>
      <w:proofErr w:type="spellStart"/>
      <w:r w:rsidRPr="00E01972">
        <w:rPr>
          <w:sz w:val="28"/>
          <w:szCs w:val="28"/>
          <w:highlight w:val="lightGray"/>
        </w:rPr>
        <w:t>approximator</w:t>
      </w:r>
      <w:proofErr w:type="spellEnd"/>
      <w:r w:rsidRPr="00E01972">
        <w:rPr>
          <w:sz w:val="28"/>
          <w:szCs w:val="28"/>
          <w:highlight w:val="lightGray"/>
        </w:rPr>
        <w:t>,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897A33" w:rsidRDefault="00897A33" w:rsidP="00897A33">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667F02" w:rsidRPr="00B407F0" w:rsidRDefault="00667F02" w:rsidP="00667F02">
      <w:pPr>
        <w:jc w:val="center"/>
        <w:rPr>
          <w:b/>
          <w:bCs/>
          <w:sz w:val="36"/>
          <w:szCs w:val="36"/>
        </w:rPr>
      </w:pPr>
    </w:p>
    <w:p w:rsidR="00667F02" w:rsidRPr="00111AD3" w:rsidRDefault="00667F02" w:rsidP="00111AD3">
      <w:pPr>
        <w:pStyle w:val="ListParagraph"/>
        <w:numPr>
          <w:ilvl w:val="0"/>
          <w:numId w:val="1"/>
        </w:numPr>
        <w:jc w:val="center"/>
        <w:rPr>
          <w:sz w:val="36"/>
          <w:szCs w:val="36"/>
          <w:highlight w:val="yellow"/>
        </w:rPr>
      </w:pPr>
      <w:r w:rsidRPr="00111AD3">
        <w:rPr>
          <w:b/>
          <w:bCs/>
          <w:sz w:val="36"/>
          <w:szCs w:val="36"/>
        </w:rPr>
        <w:t xml:space="preserve">KAN Model </w:t>
      </w:r>
      <w:r w:rsidRPr="00111AD3">
        <w:rPr>
          <w:b/>
          <w:bCs/>
          <w:sz w:val="36"/>
          <w:szCs w:val="36"/>
          <w:highlight w:val="yellow"/>
        </w:rPr>
        <w:t>(General info of the architecture) We can use the initial paper here, or use the existing references for citing</w:t>
      </w:r>
    </w:p>
    <w:p w:rsidR="00667F02" w:rsidRPr="00982D19" w:rsidRDefault="00667F02" w:rsidP="00111AD3">
      <w:pPr>
        <w:ind w:left="360"/>
      </w:pPr>
      <w:r w:rsidRPr="00111AD3">
        <w:rPr>
          <w:sz w:val="28"/>
          <w:szCs w:val="28"/>
          <w:highlight w:val="lightGray"/>
        </w:rPr>
        <w:t xml:space="preserve">The KAN model is optimally configured for function approximation tasks [15 - 18], including the resolution of ODEs, owing to its basis in the KAT. This theorem asserts that any continuous multivariate function can be expressed as </w:t>
      </w:r>
      <w:r w:rsidRPr="00111AD3">
        <w:rPr>
          <w:sz w:val="28"/>
          <w:szCs w:val="28"/>
          <w:highlight w:val="lightGray"/>
        </w:rPr>
        <w:lastRenderedPageBreak/>
        <w:t>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Pr="00111AD3">
        <w:rPr>
          <w:sz w:val="28"/>
          <w:szCs w:val="28"/>
          <w:highlight w:val="lightGray"/>
        </w:rPr>
        <w:t>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 decomposition structure of KAN is more suitable for the task of ODE solution 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67F02" w:rsidRPr="00111AD3" w:rsidRDefault="00667F02" w:rsidP="00111AD3">
      <w:pPr>
        <w:ind w:left="360"/>
        <w:rPr>
          <w:rFonts w:ascii="Arial" w:hAnsi="Arial" w:cs="Arial"/>
          <w:color w:val="172B4D"/>
          <w:shd w:val="clear" w:color="auto" w:fill="FFFFFF"/>
        </w:rPr>
      </w:pPr>
      <w:r w:rsidRPr="00111AD3">
        <w:rPr>
          <w:rFonts w:cstheme="minorHAnsi"/>
          <w:color w:val="172B4D"/>
          <w:sz w:val="28"/>
          <w:szCs w:val="28"/>
          <w:highlight w:val="lightGray"/>
          <w:shd w:val="clear" w:color="auto" w:fill="FFFFFF"/>
        </w:rPr>
        <w:t xml:space="preserve">As they are capable of handling a high-dimensional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w:t>
      </w:r>
      <w:r w:rsidRPr="00111AD3">
        <w:rPr>
          <w:rFonts w:cstheme="minorHAnsi"/>
          <w:color w:val="172B4D"/>
          <w:sz w:val="28"/>
          <w:szCs w:val="28"/>
          <w:highlight w:val="lightGray"/>
          <w:shd w:val="clear" w:color="auto" w:fill="FFFFFF"/>
        </w:rPr>
        <w:lastRenderedPageBreak/>
        <w:t>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able to achieve excellent convergence rates [6, 7, 8, 13, 17, 18]. Since univariate basis functions are used to optimize specific features of the input’s data, the system is learned much faster and avoids overfitting [17, 18]. This characteristic is extremely important particularly in solving ODEs where the solution’s spatial domain has steep gradients or localized structures.</w:t>
      </w:r>
      <w:r w:rsidRPr="00111AD3">
        <w:rPr>
          <w:rFonts w:ascii="Arial" w:hAnsi="Arial" w:cs="Arial"/>
          <w:color w:val="172B4D"/>
          <w:shd w:val="clear" w:color="auto" w:fill="FFFFFF"/>
        </w:rPr>
        <w:t xml:space="preserve"> </w:t>
      </w:r>
      <w:r w:rsidRPr="00111AD3">
        <w:rPr>
          <w:sz w:val="28"/>
          <w:szCs w:val="28"/>
          <w:highlight w:val="lightGray"/>
        </w:rPr>
        <w:t xml:space="preserve">By integrating domain-specific insights into the selection of </w:t>
      </w:r>
      <w:proofErr w:type="spellStart"/>
      <w:r w:rsidRPr="00111AD3">
        <w:rPr>
          <w:sz w:val="28"/>
          <w:szCs w:val="28"/>
          <w:highlight w:val="lightGray"/>
        </w:rPr>
        <w:t>basis</w:t>
      </w:r>
      <w:proofErr w:type="spellEnd"/>
      <w:r w:rsidRPr="00111AD3">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667F02" w:rsidRDefault="00667F02" w:rsidP="00667F02">
      <w:pPr>
        <w:rPr>
          <w:sz w:val="28"/>
          <w:szCs w:val="28"/>
        </w:rPr>
      </w:pPr>
    </w:p>
    <w:p w:rsidR="00667F02" w:rsidRPr="00D17EFB" w:rsidRDefault="00667F02" w:rsidP="00667F02">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667F02" w:rsidRDefault="00667F02" w:rsidP="00667F02">
      <w:pPr>
        <w:pStyle w:val="ListParagraph"/>
        <w:rPr>
          <w:sz w:val="28"/>
          <w:szCs w:val="28"/>
        </w:rPr>
      </w:pPr>
    </w:p>
    <w:p w:rsidR="00667F02" w:rsidRDefault="00667F02" w:rsidP="00667F02">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667F02" w:rsidRPr="00EE44A0" w:rsidRDefault="00667F02" w:rsidP="00667F02">
      <w:pPr>
        <w:pStyle w:val="ListParagraph"/>
        <w:rPr>
          <w:sz w:val="28"/>
          <w:szCs w:val="28"/>
        </w:rPr>
      </w:pPr>
    </w:p>
    <w:p w:rsidR="00667F02" w:rsidRDefault="00667F02" w:rsidP="00667F02">
      <w:pPr>
        <w:pStyle w:val="ListParagraph"/>
        <w:numPr>
          <w:ilvl w:val="0"/>
          <w:numId w:val="1"/>
        </w:numPr>
        <w:rPr>
          <w:b/>
          <w:bCs/>
          <w:sz w:val="28"/>
          <w:szCs w:val="28"/>
        </w:rPr>
      </w:pPr>
      <w:r>
        <w:rPr>
          <w:b/>
          <w:bCs/>
          <w:sz w:val="28"/>
          <w:szCs w:val="28"/>
        </w:rPr>
        <w:t>Numerical Examples</w:t>
      </w:r>
    </w:p>
    <w:p w:rsidR="00111AD3" w:rsidRPr="00FD5913" w:rsidRDefault="00111AD3" w:rsidP="00111AD3">
      <w:pPr>
        <w:ind w:left="360"/>
        <w:rPr>
          <w:rFonts w:eastAsiaTheme="minorEastAsia"/>
        </w:rPr>
      </w:pPr>
      <w:r>
        <w:rPr>
          <w:rFonts w:eastAsiaTheme="minorEastAsia"/>
        </w:rPr>
        <w:t>In this section, some example equations are evaluated by the KAN model. The results are then compared to other similar approaches.</w:t>
      </w:r>
    </w:p>
    <w:p w:rsidR="00111AD3" w:rsidRDefault="00111AD3" w:rsidP="00111AD3">
      <w:pPr>
        <w:pStyle w:val="ListParagraph"/>
        <w:numPr>
          <w:ilvl w:val="2"/>
          <w:numId w:val="1"/>
        </w:numPr>
        <w:rPr>
          <w:b/>
          <w:bCs/>
          <w:sz w:val="28"/>
          <w:szCs w:val="28"/>
        </w:rPr>
      </w:pPr>
      <w:r>
        <w:rPr>
          <w:b/>
          <w:bCs/>
          <w:sz w:val="28"/>
          <w:szCs w:val="28"/>
        </w:rPr>
        <w:lastRenderedPageBreak/>
        <w:t>Example 1</w:t>
      </w:r>
    </w:p>
    <w:p w:rsidR="00111AD3" w:rsidRPr="00445DAD" w:rsidRDefault="00111AD3" w:rsidP="00111AD3">
      <w:r w:rsidRPr="00445DAD">
        <w:t>Con</w:t>
      </w:r>
      <w:r>
        <w:t>sider the following first-order differential equation:</w:t>
      </w:r>
    </w:p>
    <w:p w:rsidR="00111AD3" w:rsidRPr="008F3D03" w:rsidRDefault="00277D86" w:rsidP="00111AD3">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111AD3" w:rsidRPr="008F3D03" w:rsidRDefault="00111AD3" w:rsidP="00111AD3">
      <w:pPr>
        <w:rPr>
          <w:rFonts w:eastAsiaTheme="minorEastAsia"/>
        </w:rPr>
      </w:pPr>
    </w:p>
    <w:p w:rsidR="00111AD3" w:rsidRDefault="00111AD3" w:rsidP="00111AD3">
      <w:pPr>
        <w:rPr>
          <w:rFonts w:eastAsiaTheme="minorEastAsia"/>
        </w:rPr>
      </w:pPr>
      <w:r>
        <w:rPr>
          <w:rFonts w:eastAsiaTheme="minorEastAsia"/>
        </w:rPr>
        <w:t>With the initial condition:</w:t>
      </w:r>
    </w:p>
    <w:p w:rsidR="00111AD3" w:rsidRPr="00FD2587" w:rsidRDefault="00111AD3" w:rsidP="00111AD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111AD3" w:rsidRPr="00FD2587" w:rsidRDefault="00111AD3" w:rsidP="00111AD3">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21"/>
        <w:gridCol w:w="907"/>
        <w:gridCol w:w="1327"/>
        <w:gridCol w:w="1534"/>
        <w:gridCol w:w="1686"/>
        <w:gridCol w:w="90"/>
        <w:gridCol w:w="990"/>
      </w:tblGrid>
      <w:tr w:rsidR="00111AD3" w:rsidRPr="007F16D1" w:rsidTr="005E1627">
        <w:trPr>
          <w:tblHeader/>
          <w:tblCellSpacing w:w="15" w:type="dxa"/>
        </w:trPr>
        <w:tc>
          <w:tcPr>
            <w:tcW w:w="0" w:type="auto"/>
            <w:vAlign w:val="center"/>
            <w:hideMark/>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1504" w:type="dxa"/>
            <w:vAlign w:val="center"/>
            <w:hideMark/>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1656" w:type="dxa"/>
            <w:vAlign w:val="center"/>
            <w:hideMark/>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c>
          <w:tcPr>
            <w:tcW w:w="60" w:type="dxa"/>
          </w:tcPr>
          <w:p w:rsidR="00111AD3" w:rsidRPr="007F16D1" w:rsidRDefault="00111AD3" w:rsidP="005E1627">
            <w:pPr>
              <w:spacing w:after="0" w:line="240" w:lineRule="auto"/>
              <w:jc w:val="center"/>
              <w:rPr>
                <w:rFonts w:ascii="Times New Roman" w:eastAsia="Times New Roman" w:hAnsi="Times New Roman" w:cs="Times New Roman"/>
                <w:b/>
                <w:bCs/>
                <w:sz w:val="24"/>
                <w:szCs w:val="24"/>
              </w:rPr>
            </w:pPr>
          </w:p>
        </w:tc>
        <w:tc>
          <w:tcPr>
            <w:tcW w:w="945" w:type="dxa"/>
          </w:tcPr>
          <w:p w:rsidR="00111AD3" w:rsidRDefault="00111AD3" w:rsidP="005E1627">
            <w:pPr>
              <w:spacing w:after="0" w:line="240" w:lineRule="auto"/>
              <w:jc w:val="center"/>
              <w:rPr>
                <w:rFonts w:ascii="Times New Roman" w:eastAsia="Times New Roman" w:hAnsi="Times New Roman" w:cs="Times New Roman"/>
                <w:b/>
                <w:bCs/>
                <w:sz w:val="24"/>
                <w:szCs w:val="24"/>
              </w:rPr>
            </w:pPr>
          </w:p>
          <w:p w:rsidR="00111AD3" w:rsidRPr="007F16D1" w:rsidRDefault="00111AD3"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5F6ACC">
              <w:rPr>
                <w:rFonts w:ascii="Times New Roman" w:eastAsia="Times New Roman" w:hAnsi="Times New Roman" w:cs="Times New Roman"/>
                <w:sz w:val="24"/>
                <w:szCs w:val="24"/>
              </w:rPr>
              <w:t>0.9535</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8735EF">
              <w:rPr>
                <w:rFonts w:ascii="Times New Roman" w:eastAsia="Times New Roman" w:hAnsi="Times New Roman" w:cs="Times New Roman"/>
                <w:sz w:val="24"/>
                <w:szCs w:val="24"/>
              </w:rPr>
              <w:t>0.9137</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042483">
              <w:rPr>
                <w:rFonts w:ascii="Times New Roman" w:eastAsia="Times New Roman" w:hAnsi="Times New Roman" w:cs="Times New Roman"/>
                <w:sz w:val="24"/>
                <w:szCs w:val="24"/>
              </w:rPr>
              <w:t>0.8798</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D97762">
              <w:rPr>
                <w:rFonts w:ascii="Times New Roman" w:eastAsia="Times New Roman" w:hAnsi="Times New Roman" w:cs="Times New Roman"/>
                <w:sz w:val="24"/>
                <w:szCs w:val="24"/>
              </w:rPr>
              <w:t>0.8514</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B7407C">
              <w:rPr>
                <w:rFonts w:ascii="Times New Roman" w:eastAsia="Times New Roman" w:hAnsi="Times New Roman" w:cs="Times New Roman"/>
                <w:sz w:val="24"/>
                <w:szCs w:val="24"/>
              </w:rPr>
              <w:t>0.8283</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E45B53">
              <w:rPr>
                <w:rFonts w:ascii="Times New Roman" w:eastAsia="Times New Roman" w:hAnsi="Times New Roman" w:cs="Times New Roman"/>
                <w:sz w:val="24"/>
                <w:szCs w:val="24"/>
              </w:rPr>
              <w:t>0.8104</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052170">
              <w:rPr>
                <w:rFonts w:ascii="Times New Roman" w:eastAsia="Times New Roman" w:hAnsi="Times New Roman" w:cs="Times New Roman"/>
                <w:sz w:val="24"/>
                <w:szCs w:val="24"/>
              </w:rPr>
              <w:t>0.7977</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7545F8">
              <w:rPr>
                <w:rFonts w:ascii="Times New Roman" w:eastAsia="Times New Roman" w:hAnsi="Times New Roman" w:cs="Times New Roman"/>
                <w:sz w:val="24"/>
                <w:szCs w:val="24"/>
              </w:rPr>
              <w:t>0.7905</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83474E">
              <w:rPr>
                <w:rFonts w:ascii="Times New Roman" w:eastAsia="Times New Roman" w:hAnsi="Times New Roman" w:cs="Times New Roman"/>
                <w:sz w:val="24"/>
                <w:szCs w:val="24"/>
              </w:rPr>
              <w:t>0.7888</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33263F">
              <w:rPr>
                <w:rFonts w:ascii="Times New Roman" w:eastAsia="Times New Roman" w:hAnsi="Times New Roman" w:cs="Times New Roman"/>
                <w:sz w:val="24"/>
                <w:szCs w:val="24"/>
              </w:rPr>
              <w:t>0.7930</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6A40D5">
              <w:rPr>
                <w:rFonts w:ascii="Times New Roman" w:eastAsia="Times New Roman" w:hAnsi="Times New Roman" w:cs="Times New Roman"/>
                <w:sz w:val="24"/>
                <w:szCs w:val="24"/>
              </w:rPr>
              <w:t>0.8033</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4F7745">
              <w:rPr>
                <w:rFonts w:ascii="Times New Roman" w:eastAsia="Times New Roman" w:hAnsi="Times New Roman" w:cs="Times New Roman"/>
                <w:sz w:val="24"/>
                <w:szCs w:val="24"/>
              </w:rPr>
              <w:t>0.8199</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5407DA">
              <w:rPr>
                <w:rFonts w:ascii="Times New Roman" w:eastAsia="Times New Roman" w:hAnsi="Times New Roman" w:cs="Times New Roman"/>
                <w:sz w:val="24"/>
                <w:szCs w:val="24"/>
              </w:rPr>
              <w:t>0.8431</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3158BD">
              <w:rPr>
                <w:rFonts w:ascii="Times New Roman" w:eastAsia="Times New Roman" w:hAnsi="Times New Roman" w:cs="Times New Roman"/>
                <w:sz w:val="24"/>
                <w:szCs w:val="24"/>
              </w:rPr>
              <w:t>0.8731</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653A97">
              <w:rPr>
                <w:rFonts w:ascii="Times New Roman" w:eastAsia="Times New Roman" w:hAnsi="Times New Roman" w:cs="Times New Roman"/>
                <w:sz w:val="24"/>
                <w:szCs w:val="24"/>
              </w:rPr>
              <w:t>0.9100</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244011">
              <w:rPr>
                <w:rFonts w:ascii="Times New Roman" w:eastAsia="Times New Roman" w:hAnsi="Times New Roman" w:cs="Times New Roman"/>
                <w:sz w:val="24"/>
                <w:szCs w:val="24"/>
              </w:rPr>
              <w:t>0.9540</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84413C">
              <w:rPr>
                <w:rFonts w:ascii="Times New Roman" w:eastAsia="Times New Roman" w:hAnsi="Times New Roman" w:cs="Times New Roman"/>
                <w:sz w:val="24"/>
                <w:szCs w:val="24"/>
              </w:rPr>
              <w:t>1.0052</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DA2591">
              <w:rPr>
                <w:rFonts w:ascii="Times New Roman" w:eastAsia="Times New Roman" w:hAnsi="Times New Roman" w:cs="Times New Roman"/>
                <w:sz w:val="24"/>
                <w:szCs w:val="24"/>
              </w:rPr>
              <w:t>1.0637</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1.1293</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1.2021</w:t>
            </w:r>
          </w:p>
        </w:tc>
      </w:tr>
      <w:tr w:rsidR="00111AD3" w:rsidRPr="007F16D1" w:rsidTr="005E1627">
        <w:trPr>
          <w:tblCellSpacing w:w="15" w:type="dxa"/>
        </w:trPr>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1504"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1656" w:type="dxa"/>
            <w:vAlign w:val="center"/>
            <w:hideMark/>
          </w:tcPr>
          <w:p w:rsidR="00111AD3" w:rsidRPr="007F16D1" w:rsidRDefault="00111AD3"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c>
          <w:tcPr>
            <w:tcW w:w="60" w:type="dxa"/>
          </w:tcPr>
          <w:p w:rsidR="00111AD3" w:rsidRPr="007F16D1" w:rsidRDefault="00111AD3" w:rsidP="005E1627">
            <w:pPr>
              <w:spacing w:after="0" w:line="240" w:lineRule="auto"/>
              <w:rPr>
                <w:rFonts w:ascii="Times New Roman" w:eastAsia="Times New Roman" w:hAnsi="Times New Roman" w:cs="Times New Roman"/>
                <w:sz w:val="24"/>
                <w:szCs w:val="24"/>
              </w:rPr>
            </w:pPr>
          </w:p>
        </w:tc>
        <w:tc>
          <w:tcPr>
            <w:tcW w:w="945" w:type="dxa"/>
          </w:tcPr>
          <w:p w:rsidR="00111AD3" w:rsidRPr="007F16D1" w:rsidRDefault="00111AD3"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4.66e-11</w:t>
            </w:r>
          </w:p>
        </w:tc>
      </w:tr>
    </w:tbl>
    <w:p w:rsidR="00111AD3" w:rsidRPr="00FA1971" w:rsidRDefault="00111AD3" w:rsidP="00111AD3">
      <w:pPr>
        <w:rPr>
          <w:rFonts w:eastAsiaTheme="minorEastAsia"/>
        </w:rPr>
      </w:pPr>
      <w:r>
        <w:rPr>
          <w:rFonts w:eastAsiaTheme="minorEastAsia"/>
          <w:b/>
          <w:bCs/>
          <w:noProof/>
          <w:sz w:val="24"/>
          <w:szCs w:val="24"/>
        </w:rPr>
        <w:drawing>
          <wp:anchor distT="0" distB="0" distL="114300" distR="114300" simplePos="0" relativeHeight="251661312" behindDoc="1" locked="0" layoutInCell="1" allowOverlap="1" wp14:anchorId="755E4A55" wp14:editId="3D5683F5">
            <wp:simplePos x="0" y="0"/>
            <wp:positionH relativeFrom="column">
              <wp:posOffset>0</wp:posOffset>
            </wp:positionH>
            <wp:positionV relativeFrom="paragraph">
              <wp:posOffset>268872</wp:posOffset>
            </wp:positionV>
            <wp:extent cx="5847080" cy="4379595"/>
            <wp:effectExtent l="0" t="0" r="1270" b="1905"/>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anchor>
        </w:drawing>
      </w:r>
      <w:r w:rsidRPr="0062728D">
        <w:rPr>
          <w:rFonts w:eastAsiaTheme="minorEastAsia"/>
        </w:rPr>
        <w:t xml:space="preserve"> </w:t>
      </w:r>
      <w:r>
        <w:rPr>
          <w:rFonts w:eastAsiaTheme="minorEastAsia"/>
        </w:rPr>
        <w:t>Average MSE 4.6673 x 10</w:t>
      </w:r>
      <w:r>
        <w:rPr>
          <w:rFonts w:eastAsiaTheme="minorEastAsia"/>
          <w:vertAlign w:val="superscript"/>
        </w:rPr>
        <w:t>-11</w:t>
      </w:r>
      <w:r>
        <w:rPr>
          <w:rFonts w:eastAsiaTheme="minorEastAsia"/>
        </w:rPr>
        <w:t>, Average MAE 1.7985 x 10</w:t>
      </w:r>
      <w:r>
        <w:rPr>
          <w:rFonts w:eastAsiaTheme="minorEastAsia"/>
          <w:vertAlign w:val="superscript"/>
        </w:rPr>
        <w:t>-6</w:t>
      </w:r>
    </w:p>
    <w:p w:rsidR="00111AD3" w:rsidRPr="0062728D" w:rsidRDefault="00111AD3" w:rsidP="00111AD3"/>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Default="00111AD3" w:rsidP="00111AD3">
      <w:pPr>
        <w:rPr>
          <w:rFonts w:eastAsiaTheme="minorEastAsia"/>
          <w:b/>
          <w:bCs/>
          <w:sz w:val="24"/>
          <w:szCs w:val="24"/>
        </w:rPr>
      </w:pPr>
    </w:p>
    <w:p w:rsidR="00111AD3" w:rsidRPr="007F16D1" w:rsidRDefault="00111AD3" w:rsidP="00111AD3">
      <w:pPr>
        <w:rPr>
          <w:rFonts w:eastAsiaTheme="minorEastAsia"/>
          <w:b/>
          <w:bCs/>
          <w:sz w:val="24"/>
          <w:szCs w:val="24"/>
        </w:rPr>
      </w:pPr>
    </w:p>
    <w:p w:rsidR="00111AD3" w:rsidRDefault="00111AD3" w:rsidP="00111AD3">
      <w:pPr>
        <w:pStyle w:val="ListParagraph"/>
        <w:numPr>
          <w:ilvl w:val="2"/>
          <w:numId w:val="1"/>
        </w:numPr>
        <w:rPr>
          <w:b/>
          <w:bCs/>
          <w:sz w:val="28"/>
          <w:szCs w:val="28"/>
        </w:rPr>
      </w:pPr>
      <w:r>
        <w:rPr>
          <w:b/>
          <w:bCs/>
          <w:sz w:val="28"/>
          <w:szCs w:val="28"/>
        </w:rPr>
        <w:t>Example 2</w:t>
      </w:r>
    </w:p>
    <w:p w:rsidR="00111AD3" w:rsidRPr="00631F18" w:rsidRDefault="00111AD3" w:rsidP="00111AD3">
      <w:r w:rsidRPr="00631F18">
        <w:t>Con</w:t>
      </w:r>
      <w:r>
        <w:t>sider another first-order linear differential equation:</w:t>
      </w:r>
    </w:p>
    <w:p w:rsidR="00111AD3" w:rsidRPr="00705E6F" w:rsidRDefault="00277D86" w:rsidP="00111AD3">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111AD3" w:rsidRPr="00705E6F" w:rsidRDefault="00111AD3" w:rsidP="00111AD3">
      <w:pPr>
        <w:rPr>
          <w:rFonts w:eastAsiaTheme="minorEastAsia"/>
        </w:rPr>
      </w:pPr>
      <w:r>
        <w:rPr>
          <w:rFonts w:eastAsiaTheme="minorEastAsia"/>
        </w:rPr>
        <w:t>With the initial condition:</w:t>
      </w:r>
    </w:p>
    <w:p w:rsidR="00111AD3" w:rsidRPr="001E64F3" w:rsidRDefault="00111AD3" w:rsidP="00111AD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111AD3" w:rsidRPr="00FD2587" w:rsidRDefault="00111AD3" w:rsidP="00111AD3">
      <w:pPr>
        <w:rPr>
          <w:rFonts w:eastAsiaTheme="minorEastAsia"/>
        </w:rPr>
      </w:pPr>
      <w:r>
        <w:rPr>
          <w:rFonts w:eastAsiaTheme="minorEastAsia"/>
        </w:rPr>
        <w:t>Compared results to other references:</w:t>
      </w:r>
    </w:p>
    <w:tbl>
      <w:tblPr>
        <w:tblW w:w="882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922"/>
      </w:tblGrid>
      <w:tr w:rsidR="00111AD3" w:rsidRPr="00FD2587" w:rsidTr="005E1627">
        <w:trPr>
          <w:tblHeader/>
          <w:tblCellSpacing w:w="15" w:type="dxa"/>
        </w:trPr>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877" w:type="dxa"/>
          </w:tcPr>
          <w:p w:rsidR="00111AD3" w:rsidRPr="00FD2587" w:rsidRDefault="00111AD3"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A9671D">
              <w:rPr>
                <w:rFonts w:ascii="Times New Roman" w:eastAsia="Times New Roman" w:hAnsi="Times New Roman" w:cs="Times New Roman"/>
                <w:sz w:val="24"/>
                <w:szCs w:val="24"/>
              </w:rPr>
              <w:t>1.02e-04</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D87884">
              <w:rPr>
                <w:rFonts w:ascii="Times New Roman" w:eastAsia="Times New Roman" w:hAnsi="Times New Roman" w:cs="Times New Roman"/>
                <w:sz w:val="24"/>
                <w:szCs w:val="24"/>
              </w:rPr>
              <w:t>7.78e-05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461FC6">
              <w:rPr>
                <w:rFonts w:ascii="Times New Roman" w:eastAsia="Times New Roman" w:hAnsi="Times New Roman" w:cs="Times New Roman"/>
                <w:sz w:val="24"/>
                <w:szCs w:val="24"/>
              </w:rPr>
              <w:t>6.29e-05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lastRenderedPageBreak/>
              <w:t>0.6000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1E52FE">
              <w:rPr>
                <w:rFonts w:ascii="Times New Roman" w:eastAsia="Times New Roman" w:hAnsi="Times New Roman" w:cs="Times New Roman"/>
                <w:sz w:val="24"/>
                <w:szCs w:val="24"/>
              </w:rPr>
              <w:t>4.82e-05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8765F6">
              <w:rPr>
                <w:rFonts w:ascii="Times New Roman" w:eastAsia="Times New Roman" w:hAnsi="Times New Roman" w:cs="Times New Roman"/>
                <w:sz w:val="24"/>
                <w:szCs w:val="24"/>
              </w:rPr>
              <w:t>4.25e-05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3.53e-05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9.93e-06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8.43e-06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6.32e-05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F8660D">
              <w:rPr>
                <w:rFonts w:ascii="Times New Roman" w:eastAsia="Times New Roman" w:hAnsi="Times New Roman" w:cs="Times New Roman"/>
                <w:sz w:val="24"/>
                <w:szCs w:val="24"/>
              </w:rPr>
              <w:t>3.67e-05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98473B">
              <w:rPr>
                <w:rFonts w:ascii="Times New Roman" w:eastAsia="Times New Roman" w:hAnsi="Times New Roman" w:cs="Times New Roman"/>
                <w:sz w:val="24"/>
                <w:szCs w:val="24"/>
              </w:rPr>
              <w:t>6.43e-06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0A7873">
              <w:rPr>
                <w:rFonts w:ascii="Times New Roman" w:eastAsia="Times New Roman" w:hAnsi="Times New Roman" w:cs="Times New Roman"/>
                <w:sz w:val="24"/>
                <w:szCs w:val="24"/>
              </w:rPr>
              <w:t>8.22e-06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FF0992">
              <w:rPr>
                <w:rFonts w:ascii="Times New Roman" w:eastAsia="Times New Roman" w:hAnsi="Times New Roman" w:cs="Times New Roman"/>
                <w:sz w:val="24"/>
                <w:szCs w:val="24"/>
              </w:rPr>
              <w:t>4.58e-06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2A2341">
              <w:rPr>
                <w:rFonts w:ascii="Times New Roman" w:eastAsia="Times New Roman" w:hAnsi="Times New Roman" w:cs="Times New Roman"/>
                <w:sz w:val="24"/>
                <w:szCs w:val="24"/>
              </w:rPr>
              <w:t>4.70e-06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EF3D4B">
              <w:rPr>
                <w:rFonts w:ascii="Times New Roman" w:eastAsia="Times New Roman" w:hAnsi="Times New Roman" w:cs="Times New Roman"/>
                <w:sz w:val="24"/>
                <w:szCs w:val="24"/>
              </w:rPr>
              <w:t>1.03e-05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4902C8">
              <w:rPr>
                <w:rFonts w:ascii="Times New Roman" w:eastAsia="Times New Roman" w:hAnsi="Times New Roman" w:cs="Times New Roman"/>
                <w:sz w:val="24"/>
                <w:szCs w:val="24"/>
              </w:rPr>
              <w:t>1.67e-05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F60DED">
              <w:rPr>
                <w:rFonts w:ascii="Times New Roman" w:eastAsia="Times New Roman" w:hAnsi="Times New Roman" w:cs="Times New Roman"/>
                <w:sz w:val="24"/>
                <w:szCs w:val="24"/>
              </w:rPr>
              <w:t>2.37e-05</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9935DC">
              <w:rPr>
                <w:rFonts w:ascii="Times New Roman" w:eastAsia="Times New Roman" w:hAnsi="Times New Roman" w:cs="Times New Roman"/>
                <w:sz w:val="24"/>
                <w:szCs w:val="24"/>
              </w:rPr>
              <w:t>6.30e-06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Pr>
            </w:pPr>
            <w:r w:rsidRPr="00B33D39">
              <w:rPr>
                <w:rFonts w:ascii="Times New Roman" w:eastAsia="Times New Roman" w:hAnsi="Times New Roman" w:cs="Times New Roman"/>
                <w:sz w:val="24"/>
                <w:szCs w:val="24"/>
              </w:rPr>
              <w:t>1.83e-06</w:t>
            </w:r>
          </w:p>
        </w:tc>
      </w:tr>
      <w:tr w:rsidR="00111AD3" w:rsidRPr="00FD2587" w:rsidTr="005E1627">
        <w:trPr>
          <w:tblCellSpacing w:w="15" w:type="dxa"/>
        </w:trPr>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111AD3" w:rsidRPr="00FD2587" w:rsidRDefault="00111AD3"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877" w:type="dxa"/>
          </w:tcPr>
          <w:p w:rsidR="00111AD3" w:rsidRPr="00FD2587" w:rsidRDefault="00111AD3" w:rsidP="005E1627">
            <w:pPr>
              <w:spacing w:after="0" w:line="240" w:lineRule="auto"/>
              <w:rPr>
                <w:rFonts w:ascii="Times New Roman" w:eastAsia="Times New Roman" w:hAnsi="Times New Roman" w:cs="Times New Roman"/>
                <w:sz w:val="24"/>
                <w:szCs w:val="24"/>
                <w:rtl/>
                <w:lang w:bidi="fa-IR"/>
              </w:rPr>
            </w:pPr>
            <w:r w:rsidRPr="00EF74C7">
              <w:rPr>
                <w:rFonts w:ascii="Times New Roman" w:eastAsia="Times New Roman" w:hAnsi="Times New Roman" w:cs="Times New Roman"/>
                <w:sz w:val="24"/>
                <w:szCs w:val="24"/>
              </w:rPr>
              <w:t>9.76e-05</w:t>
            </w:r>
          </w:p>
        </w:tc>
      </w:tr>
    </w:tbl>
    <w:p w:rsidR="00111AD3" w:rsidRDefault="00111AD3" w:rsidP="00111AD3">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35"/>
        <w:gridCol w:w="1350"/>
        <w:gridCol w:w="1530"/>
        <w:gridCol w:w="1170"/>
        <w:gridCol w:w="1350"/>
      </w:tblGrid>
      <w:tr w:rsidR="00111AD3" w:rsidRPr="00C41320" w:rsidTr="005E1627">
        <w:trPr>
          <w:tblHeader/>
          <w:tblCellSpacing w:w="15" w:type="dxa"/>
        </w:trPr>
        <w:tc>
          <w:tcPr>
            <w:tcW w:w="0" w:type="auto"/>
            <w:vAlign w:val="center"/>
            <w:hideMark/>
          </w:tcPr>
          <w:p w:rsidR="00111AD3" w:rsidRPr="00C41320" w:rsidRDefault="00111AD3"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x</w:t>
            </w:r>
          </w:p>
        </w:tc>
        <w:tc>
          <w:tcPr>
            <w:tcW w:w="1005" w:type="dxa"/>
            <w:vAlign w:val="center"/>
            <w:hideMark/>
          </w:tcPr>
          <w:p w:rsidR="00111AD3" w:rsidRPr="00C41320" w:rsidRDefault="00111AD3"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1320" w:type="dxa"/>
            <w:vAlign w:val="center"/>
            <w:hideMark/>
          </w:tcPr>
          <w:p w:rsidR="00111AD3" w:rsidRPr="00C41320" w:rsidRDefault="00111AD3" w:rsidP="005E1627">
            <w:pPr>
              <w:spacing w:after="0" w:line="240" w:lineRule="auto"/>
              <w:jc w:val="center"/>
              <w:rPr>
                <w:rFonts w:ascii="Times New Roman" w:eastAsia="Times New Roman" w:hAnsi="Times New Roman" w:cs="Times New Roman"/>
                <w:b/>
                <w:bCs/>
                <w:sz w:val="24"/>
                <w:szCs w:val="24"/>
              </w:rPr>
            </w:pPr>
            <w:proofErr w:type="spellStart"/>
            <w:r w:rsidRPr="00C41320">
              <w:rPr>
                <w:rFonts w:ascii="Times New Roman" w:eastAsia="Times New Roman" w:hAnsi="Times New Roman" w:cs="Times New Roman"/>
                <w:b/>
                <w:bCs/>
                <w:sz w:val="24"/>
                <w:szCs w:val="24"/>
              </w:rPr>
              <w:t>RBFNet</w:t>
            </w:r>
            <w:proofErr w:type="spellEnd"/>
            <w:r w:rsidRPr="00C41320">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Rizaner</w:t>
            </w:r>
            <w:proofErr w:type="spellEnd"/>
            <w:r>
              <w:rPr>
                <w:rFonts w:ascii="Times New Roman" w:eastAsia="Times New Roman" w:hAnsi="Times New Roman" w:cs="Times New Roman"/>
                <w:b/>
                <w:bCs/>
                <w:sz w:val="24"/>
                <w:szCs w:val="24"/>
              </w:rPr>
              <w:t xml:space="preserve"> </w:t>
            </w:r>
            <w:r w:rsidRPr="00C41320">
              <w:rPr>
                <w:rFonts w:ascii="Times New Roman" w:eastAsia="Times New Roman" w:hAnsi="Times New Roman" w:cs="Times New Roman"/>
                <w:b/>
                <w:bCs/>
                <w:sz w:val="24"/>
                <w:szCs w:val="24"/>
              </w:rPr>
              <w:t>(n=21)</w:t>
            </w:r>
          </w:p>
        </w:tc>
        <w:tc>
          <w:tcPr>
            <w:tcW w:w="1500" w:type="dxa"/>
            <w:vAlign w:val="center"/>
            <w:hideMark/>
          </w:tcPr>
          <w:p w:rsidR="00111AD3" w:rsidRPr="00C41320" w:rsidRDefault="00111AD3"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1140" w:type="dxa"/>
            <w:vAlign w:val="center"/>
            <w:hideMark/>
          </w:tcPr>
          <w:p w:rsidR="00111AD3" w:rsidRPr="00C41320" w:rsidRDefault="00111AD3"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c>
          <w:tcPr>
            <w:tcW w:w="1305" w:type="dxa"/>
          </w:tcPr>
          <w:p w:rsidR="00111AD3" w:rsidRDefault="00111AD3" w:rsidP="005E1627">
            <w:pPr>
              <w:spacing w:after="0" w:line="240" w:lineRule="auto"/>
              <w:jc w:val="center"/>
              <w:rPr>
                <w:rFonts w:ascii="Times New Roman" w:eastAsia="Times New Roman" w:hAnsi="Times New Roman" w:cs="Times New Roman"/>
                <w:b/>
                <w:bCs/>
                <w:sz w:val="24"/>
                <w:szCs w:val="24"/>
              </w:rPr>
            </w:pPr>
          </w:p>
          <w:p w:rsidR="00111AD3" w:rsidRPr="00C41320" w:rsidRDefault="00111AD3"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2.3437</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1.8141</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5B3414">
              <w:rPr>
                <w:rFonts w:ascii="Times New Roman" w:eastAsia="Times New Roman" w:hAnsi="Times New Roman" w:cs="Times New Roman"/>
                <w:sz w:val="24"/>
                <w:szCs w:val="24"/>
              </w:rPr>
              <w:t>1.351</w:t>
            </w:r>
            <w:r>
              <w:rPr>
                <w:rFonts w:ascii="Times New Roman" w:eastAsia="Times New Roman" w:hAnsi="Times New Roman" w:cs="Times New Roman"/>
                <w:sz w:val="24"/>
                <w:szCs w:val="24"/>
              </w:rPr>
              <w:t>1</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0.60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8B6273">
              <w:rPr>
                <w:rFonts w:ascii="Times New Roman" w:eastAsia="Times New Roman" w:hAnsi="Times New Roman" w:cs="Times New Roman"/>
                <w:sz w:val="24"/>
                <w:szCs w:val="24"/>
              </w:rPr>
              <w:t>0.9347</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3A7883">
              <w:rPr>
                <w:rFonts w:ascii="Times New Roman" w:eastAsia="Times New Roman" w:hAnsi="Times New Roman" w:cs="Times New Roman"/>
                <w:sz w:val="24"/>
                <w:szCs w:val="24"/>
              </w:rPr>
              <w:t>0.5762</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270DA2">
              <w:rPr>
                <w:rFonts w:ascii="Times New Roman" w:eastAsia="Times New Roman" w:hAnsi="Times New Roman" w:cs="Times New Roman"/>
                <w:sz w:val="24"/>
                <w:szCs w:val="24"/>
              </w:rPr>
              <w:t>0.3011</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171AA9">
              <w:rPr>
                <w:rFonts w:ascii="Times New Roman" w:eastAsia="Times New Roman" w:hAnsi="Times New Roman" w:cs="Times New Roman"/>
                <w:sz w:val="24"/>
                <w:szCs w:val="24"/>
              </w:rPr>
              <w:t>0.1317</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8A733E">
              <w:rPr>
                <w:rFonts w:ascii="Times New Roman" w:eastAsia="Times New Roman" w:hAnsi="Times New Roman" w:cs="Times New Roman"/>
                <w:sz w:val="24"/>
                <w:szCs w:val="24"/>
              </w:rPr>
              <w:t>0.0725</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2916A6">
              <w:rPr>
                <w:rFonts w:ascii="Times New Roman" w:eastAsia="Times New Roman" w:hAnsi="Times New Roman" w:cs="Times New Roman"/>
                <w:sz w:val="24"/>
                <w:szCs w:val="24"/>
              </w:rPr>
              <w:t>0.1038</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2F2FEE">
              <w:rPr>
                <w:rFonts w:ascii="Times New Roman" w:eastAsia="Times New Roman" w:hAnsi="Times New Roman" w:cs="Times New Roman"/>
                <w:sz w:val="24"/>
                <w:szCs w:val="24"/>
              </w:rPr>
              <w:t>0.1844</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E84E28">
              <w:rPr>
                <w:rFonts w:ascii="Times New Roman" w:eastAsia="Times New Roman" w:hAnsi="Times New Roman" w:cs="Times New Roman"/>
                <w:sz w:val="24"/>
                <w:szCs w:val="24"/>
              </w:rPr>
              <w:t>0.2642</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8D4263">
              <w:rPr>
                <w:rFonts w:ascii="Times New Roman" w:eastAsia="Times New Roman" w:hAnsi="Times New Roman" w:cs="Times New Roman"/>
                <w:sz w:val="24"/>
                <w:szCs w:val="24"/>
              </w:rPr>
              <w:t>0.2988</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0B107D">
              <w:rPr>
                <w:rFonts w:ascii="Times New Roman" w:eastAsia="Times New Roman" w:hAnsi="Times New Roman" w:cs="Times New Roman"/>
                <w:sz w:val="24"/>
                <w:szCs w:val="24"/>
              </w:rPr>
              <w:t>0.2638</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lastRenderedPageBreak/>
              <w:t>2.10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547FA1">
              <w:rPr>
                <w:rFonts w:ascii="Times New Roman" w:eastAsia="Times New Roman" w:hAnsi="Times New Roman" w:cs="Times New Roman"/>
                <w:sz w:val="24"/>
                <w:szCs w:val="24"/>
              </w:rPr>
              <w:t>0.1624</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9C1790">
              <w:rPr>
                <w:rFonts w:ascii="Times New Roman" w:eastAsia="Times New Roman" w:hAnsi="Times New Roman" w:cs="Times New Roman"/>
                <w:sz w:val="24"/>
                <w:szCs w:val="24"/>
              </w:rPr>
              <w:t>0.0235</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4E87">
              <w:rPr>
                <w:rFonts w:ascii="Times New Roman" w:eastAsia="Times New Roman" w:hAnsi="Times New Roman" w:cs="Times New Roman"/>
                <w:sz w:val="24"/>
                <w:szCs w:val="24"/>
              </w:rPr>
              <w:t>0.1094</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8A2DC7">
              <w:rPr>
                <w:rFonts w:ascii="Times New Roman" w:eastAsia="Times New Roman" w:hAnsi="Times New Roman" w:cs="Times New Roman"/>
                <w:sz w:val="24"/>
                <w:szCs w:val="24"/>
              </w:rPr>
              <w:t>-0.1936</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A060C8">
              <w:rPr>
                <w:rFonts w:ascii="Times New Roman" w:eastAsia="Times New Roman" w:hAnsi="Times New Roman" w:cs="Times New Roman"/>
                <w:sz w:val="24"/>
                <w:szCs w:val="24"/>
              </w:rPr>
              <w:t>-0.2025</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6E6B65">
              <w:rPr>
                <w:rFonts w:ascii="Times New Roman" w:eastAsia="Times New Roman" w:hAnsi="Times New Roman" w:cs="Times New Roman"/>
                <w:sz w:val="24"/>
                <w:szCs w:val="24"/>
              </w:rPr>
              <w:t>-0.1348</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BB07DD">
              <w:rPr>
                <w:rFonts w:ascii="Times New Roman" w:eastAsia="Times New Roman" w:hAnsi="Times New Roman" w:cs="Times New Roman"/>
                <w:sz w:val="24"/>
                <w:szCs w:val="24"/>
              </w:rPr>
              <w:t>-0.0156</w:t>
            </w:r>
          </w:p>
        </w:tc>
      </w:tr>
      <w:tr w:rsidR="00111AD3" w:rsidRPr="00C41320" w:rsidTr="005E1627">
        <w:trPr>
          <w:tblCellSpacing w:w="15" w:type="dxa"/>
        </w:trPr>
        <w:tc>
          <w:tcPr>
            <w:tcW w:w="0" w:type="auto"/>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1005"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132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150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1140" w:type="dxa"/>
            <w:vAlign w:val="center"/>
            <w:hideMark/>
          </w:tcPr>
          <w:p w:rsidR="00111AD3" w:rsidRPr="00C41320" w:rsidRDefault="00111AD3"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c>
          <w:tcPr>
            <w:tcW w:w="1305" w:type="dxa"/>
          </w:tcPr>
          <w:p w:rsidR="00111AD3" w:rsidRPr="00C41320" w:rsidRDefault="00111AD3" w:rsidP="005E1627">
            <w:pPr>
              <w:spacing w:after="0" w:line="240" w:lineRule="auto"/>
              <w:rPr>
                <w:rFonts w:ascii="Times New Roman" w:eastAsia="Times New Roman" w:hAnsi="Times New Roman" w:cs="Times New Roman"/>
                <w:sz w:val="24"/>
                <w:szCs w:val="24"/>
              </w:rPr>
            </w:pPr>
            <w:r w:rsidRPr="007E6142">
              <w:rPr>
                <w:rFonts w:ascii="Times New Roman" w:eastAsia="Times New Roman" w:hAnsi="Times New Roman" w:cs="Times New Roman"/>
                <w:sz w:val="24"/>
                <w:szCs w:val="24"/>
              </w:rPr>
              <w:t>2.10e-10</w:t>
            </w:r>
          </w:p>
        </w:tc>
      </w:tr>
    </w:tbl>
    <w:p w:rsidR="00111AD3" w:rsidRPr="00FA1971" w:rsidRDefault="00111AD3" w:rsidP="00111AD3">
      <w:pPr>
        <w:rPr>
          <w:rFonts w:eastAsiaTheme="minorEastAsia"/>
        </w:rPr>
      </w:pPr>
      <w:r>
        <w:rPr>
          <w:noProof/>
        </w:rPr>
        <w:drawing>
          <wp:anchor distT="0" distB="0" distL="114300" distR="114300" simplePos="0" relativeHeight="251660288" behindDoc="1" locked="0" layoutInCell="1" allowOverlap="1" wp14:anchorId="3B112931" wp14:editId="1C6618D1">
            <wp:simplePos x="0" y="0"/>
            <wp:positionH relativeFrom="column">
              <wp:posOffset>-120938</wp:posOffset>
            </wp:positionH>
            <wp:positionV relativeFrom="paragraph">
              <wp:posOffset>173979</wp:posOffset>
            </wp:positionV>
            <wp:extent cx="5854700" cy="4393565"/>
            <wp:effectExtent l="0" t="0" r="0" b="698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anchor>
        </w:drawing>
      </w:r>
      <w:r w:rsidRPr="00FA1971">
        <w:rPr>
          <w:rFonts w:eastAsiaTheme="minorEastAsia"/>
        </w:rPr>
        <w:t xml:space="preserve"> </w:t>
      </w:r>
      <w:r>
        <w:rPr>
          <w:rFonts w:eastAsiaTheme="minorEastAsia"/>
        </w:rPr>
        <w:t>Average MSE 2.1085 x 10</w:t>
      </w:r>
      <w:r>
        <w:rPr>
          <w:rFonts w:eastAsiaTheme="minorEastAsia"/>
          <w:vertAlign w:val="superscript"/>
        </w:rPr>
        <w:t>-10</w:t>
      </w:r>
      <w:r>
        <w:rPr>
          <w:rFonts w:eastAsiaTheme="minorEastAsia"/>
        </w:rPr>
        <w:t>, Average MAE 3.3426 x 10</w:t>
      </w:r>
      <w:r>
        <w:rPr>
          <w:rFonts w:eastAsiaTheme="minorEastAsia"/>
          <w:vertAlign w:val="superscript"/>
        </w:rPr>
        <w:t>-6</w:t>
      </w:r>
    </w:p>
    <w:p w:rsidR="00111AD3" w:rsidRDefault="00111AD3" w:rsidP="00111AD3"/>
    <w:p w:rsidR="00111AD3" w:rsidRDefault="00111AD3" w:rsidP="00111AD3"/>
    <w:p w:rsidR="00111AD3" w:rsidRDefault="00111AD3" w:rsidP="00111AD3"/>
    <w:p w:rsidR="00111AD3" w:rsidRDefault="00111AD3" w:rsidP="00111AD3"/>
    <w:p w:rsidR="00111AD3" w:rsidRDefault="00111AD3" w:rsidP="00111AD3"/>
    <w:p w:rsidR="00111AD3" w:rsidRDefault="00111AD3" w:rsidP="00111AD3"/>
    <w:p w:rsidR="00111AD3" w:rsidRDefault="00111AD3" w:rsidP="00111AD3"/>
    <w:p w:rsidR="00111AD3" w:rsidRDefault="00111AD3" w:rsidP="00111AD3"/>
    <w:p w:rsidR="00111AD3" w:rsidRDefault="00111AD3" w:rsidP="00111AD3"/>
    <w:p w:rsidR="00111AD3" w:rsidRPr="00705E6F" w:rsidRDefault="00111AD3" w:rsidP="00111AD3"/>
    <w:p w:rsidR="00111AD3" w:rsidRDefault="00111AD3" w:rsidP="00111AD3">
      <w:pPr>
        <w:pStyle w:val="ListParagraph"/>
        <w:numPr>
          <w:ilvl w:val="2"/>
          <w:numId w:val="1"/>
        </w:numPr>
        <w:rPr>
          <w:b/>
          <w:bCs/>
          <w:sz w:val="28"/>
          <w:szCs w:val="28"/>
        </w:rPr>
      </w:pPr>
      <w:r>
        <w:rPr>
          <w:b/>
          <w:bCs/>
          <w:sz w:val="28"/>
          <w:szCs w:val="28"/>
        </w:rPr>
        <w:t>Example 3</w:t>
      </w:r>
    </w:p>
    <w:p w:rsidR="00111AD3" w:rsidRDefault="00111AD3" w:rsidP="00111AD3">
      <w:r w:rsidRPr="00A42FB8">
        <w:t>Consider</w:t>
      </w:r>
      <w:r>
        <w:t xml:space="preserve"> another first-order linear differential equation:</w:t>
      </w:r>
    </w:p>
    <w:p w:rsidR="00111AD3" w:rsidRPr="00891CFF" w:rsidRDefault="00277D86" w:rsidP="00111AD3">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111AD3" w:rsidRPr="00891CFF" w:rsidRDefault="00111AD3" w:rsidP="00111AD3">
      <w:pPr>
        <w:rPr>
          <w:rFonts w:eastAsiaTheme="minorEastAsia"/>
        </w:rPr>
      </w:pPr>
      <w:r>
        <w:rPr>
          <w:rFonts w:eastAsiaTheme="minorEastAsia"/>
        </w:rPr>
        <w:t>With the initial condition:</w:t>
      </w:r>
    </w:p>
    <w:p w:rsidR="00111AD3" w:rsidRPr="00A42FB8" w:rsidRDefault="00111AD3" w:rsidP="00111AD3">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111AD3" w:rsidRDefault="00111AD3" w:rsidP="00111AD3">
      <w:pPr>
        <w:rPr>
          <w:rFonts w:eastAsiaTheme="minorEastAsia"/>
        </w:rPr>
      </w:pPr>
      <w:r>
        <w:rPr>
          <w:rFonts w:eastAsiaTheme="minorEastAsia"/>
        </w:rPr>
        <w:t>Compared results to other references:</w:t>
      </w:r>
    </w:p>
    <w:tbl>
      <w:tblPr>
        <w:tblW w:w="8933"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035"/>
      </w:tblGrid>
      <w:tr w:rsidR="00111AD3" w:rsidRPr="00C73631" w:rsidTr="005E1627">
        <w:trPr>
          <w:tblHeade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tl/>
                <w:lang w:bidi="fa-IR"/>
              </w:rPr>
            </w:pPr>
            <w:r w:rsidRPr="00CC4FA3">
              <w:rPr>
                <w:rFonts w:ascii="Times New Roman" w:eastAsia="Times New Roman" w:hAnsi="Times New Roman" w:cs="Times New Roman"/>
                <w:sz w:val="24"/>
                <w:szCs w:val="24"/>
              </w:rPr>
              <w:t>7.96e-05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lastRenderedPageBreak/>
              <w:t>0.4000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186EAC">
              <w:rPr>
                <w:rFonts w:ascii="Times New Roman" w:eastAsia="Times New Roman" w:hAnsi="Times New Roman" w:cs="Times New Roman"/>
                <w:sz w:val="24"/>
                <w:szCs w:val="24"/>
              </w:rPr>
              <w:t>6.03e-05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8D1B44">
              <w:rPr>
                <w:rFonts w:ascii="Times New Roman" w:eastAsia="Times New Roman" w:hAnsi="Times New Roman" w:cs="Times New Roman"/>
                <w:sz w:val="24"/>
                <w:szCs w:val="24"/>
              </w:rPr>
              <w:t>4.17e-05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A075DD">
              <w:rPr>
                <w:rFonts w:ascii="Times New Roman" w:eastAsia="Times New Roman" w:hAnsi="Times New Roman" w:cs="Times New Roman"/>
                <w:sz w:val="24"/>
                <w:szCs w:val="24"/>
              </w:rPr>
              <w:t>1.74e-05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3.57e-06</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9.05e-06</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2.47e-05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2.24e-05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4.67e-05</w:t>
            </w:r>
          </w:p>
        </w:tc>
      </w:tr>
      <w:tr w:rsidR="00111AD3" w:rsidRPr="00C73631" w:rsidTr="005E1627">
        <w:trPr>
          <w:tblCellSpacing w:w="15" w:type="dxa"/>
        </w:trPr>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990" w:type="dxa"/>
          </w:tcPr>
          <w:p w:rsidR="00111AD3" w:rsidRPr="00C73631" w:rsidRDefault="00111AD3"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2.07e-04</w:t>
            </w:r>
          </w:p>
        </w:tc>
      </w:tr>
    </w:tbl>
    <w:p w:rsidR="00111AD3" w:rsidRPr="00E61CBB" w:rsidRDefault="00111AD3" w:rsidP="00111AD3">
      <w:pPr>
        <w:rPr>
          <w:rFonts w:eastAsiaTheme="minorEastAsia"/>
        </w:rPr>
      </w:pPr>
      <w:r>
        <w:rPr>
          <w:rFonts w:eastAsiaTheme="minorEastAsia"/>
        </w:rPr>
        <w:t xml:space="preserve">Average MSE </w:t>
      </w:r>
      <w:r>
        <w:rPr>
          <w:rFonts w:eastAsiaTheme="minorEastAsia" w:hint="cs"/>
          <w:rtl/>
        </w:rPr>
        <w:t>4</w:t>
      </w:r>
      <w:r>
        <w:rPr>
          <w:rFonts w:eastAsiaTheme="minorEastAsia"/>
        </w:rPr>
        <w:t>.</w:t>
      </w:r>
      <w:r>
        <w:rPr>
          <w:rFonts w:eastAsiaTheme="minorEastAsia" w:hint="cs"/>
          <w:rtl/>
        </w:rPr>
        <w:t>8837</w:t>
      </w:r>
      <w:r>
        <w:rPr>
          <w:rFonts w:eastAsiaTheme="minorEastAsia"/>
        </w:rPr>
        <w:t xml:space="preserve"> x 10</w:t>
      </w:r>
      <w:r>
        <w:rPr>
          <w:rFonts w:eastAsiaTheme="minorEastAsia"/>
          <w:vertAlign w:val="superscript"/>
        </w:rPr>
        <w:t>-10</w:t>
      </w:r>
      <w:r>
        <w:rPr>
          <w:rFonts w:eastAsiaTheme="minorEastAsia"/>
        </w:rPr>
        <w:t xml:space="preserve">, Average MAE </w:t>
      </w:r>
      <w:r>
        <w:rPr>
          <w:rFonts w:eastAsiaTheme="minorEastAsia" w:hint="cs"/>
          <w:rtl/>
        </w:rPr>
        <w:t>4</w:t>
      </w:r>
      <w:r>
        <w:rPr>
          <w:rFonts w:eastAsiaTheme="minorEastAsia"/>
        </w:rPr>
        <w:t>.</w:t>
      </w:r>
      <w:r>
        <w:rPr>
          <w:rFonts w:eastAsiaTheme="minorEastAsia" w:hint="cs"/>
          <w:rtl/>
        </w:rPr>
        <w:t>8980</w:t>
      </w:r>
      <w:r>
        <w:rPr>
          <w:rFonts w:eastAsiaTheme="minorEastAsia"/>
        </w:rPr>
        <w:t xml:space="preserve"> x 10</w:t>
      </w:r>
      <w:r>
        <w:rPr>
          <w:rFonts w:eastAsiaTheme="minorEastAsia"/>
          <w:vertAlign w:val="superscript"/>
        </w:rPr>
        <w:t>-6</w:t>
      </w:r>
    </w:p>
    <w:p w:rsidR="00111AD3" w:rsidRPr="00A35300" w:rsidRDefault="00111AD3" w:rsidP="00111AD3">
      <w:pPr>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r>
        <w:rPr>
          <w:b/>
          <w:bCs/>
          <w:noProof/>
          <w:sz w:val="28"/>
          <w:szCs w:val="28"/>
        </w:rPr>
        <w:drawing>
          <wp:anchor distT="0" distB="0" distL="114300" distR="114300" simplePos="0" relativeHeight="251659264" behindDoc="1" locked="0" layoutInCell="1" allowOverlap="1" wp14:anchorId="13D2BF81" wp14:editId="17096679">
            <wp:simplePos x="0" y="0"/>
            <wp:positionH relativeFrom="column">
              <wp:posOffset>-14605</wp:posOffset>
            </wp:positionH>
            <wp:positionV relativeFrom="paragraph">
              <wp:posOffset>-951230</wp:posOffset>
            </wp:positionV>
            <wp:extent cx="5847080" cy="4379595"/>
            <wp:effectExtent l="0" t="0" r="1270" b="1905"/>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111AD3" w:rsidRDefault="00111AD3" w:rsidP="00111AD3">
      <w:pPr>
        <w:pStyle w:val="ListParagraph"/>
        <w:ind w:left="2160"/>
        <w:rPr>
          <w:b/>
          <w:bCs/>
          <w:sz w:val="28"/>
          <w:szCs w:val="28"/>
        </w:rPr>
      </w:pPr>
    </w:p>
    <w:p w:rsidR="00667F02" w:rsidRDefault="00667F02" w:rsidP="00667F02">
      <w:pPr>
        <w:pStyle w:val="ListParagraph"/>
        <w:ind w:left="2160"/>
        <w:rPr>
          <w:b/>
          <w:bCs/>
          <w:sz w:val="28"/>
          <w:szCs w:val="28"/>
        </w:rPr>
      </w:pPr>
    </w:p>
    <w:p w:rsidR="00667F02" w:rsidRPr="00DF4381" w:rsidRDefault="00667F02" w:rsidP="00667F02">
      <w:pPr>
        <w:rPr>
          <w:b/>
          <w:bCs/>
          <w:sz w:val="28"/>
          <w:szCs w:val="28"/>
        </w:rPr>
      </w:pPr>
    </w:p>
    <w:p w:rsidR="00667F02" w:rsidRDefault="00667F02" w:rsidP="00667F02">
      <w:pPr>
        <w:rPr>
          <w:b/>
          <w:bCs/>
          <w:sz w:val="28"/>
          <w:szCs w:val="28"/>
        </w:rPr>
      </w:pPr>
    </w:p>
    <w:p w:rsidR="00667F02" w:rsidRPr="00A35300" w:rsidRDefault="00667F02" w:rsidP="00667F02">
      <w:pPr>
        <w:rPr>
          <w:b/>
          <w:bCs/>
          <w:sz w:val="28"/>
          <w:szCs w:val="28"/>
        </w:rPr>
      </w:pPr>
    </w:p>
    <w:p w:rsidR="00667F02" w:rsidRDefault="00667F02" w:rsidP="00667F02">
      <w:pPr>
        <w:pStyle w:val="ListParagraph"/>
        <w:ind w:left="2160"/>
        <w:rPr>
          <w:b/>
          <w:bCs/>
          <w:sz w:val="28"/>
          <w:szCs w:val="28"/>
        </w:rPr>
      </w:pPr>
    </w:p>
    <w:p w:rsidR="00667F02" w:rsidRDefault="00667F02" w:rsidP="00667F02">
      <w:pPr>
        <w:pStyle w:val="ListParagraph"/>
        <w:numPr>
          <w:ilvl w:val="0"/>
          <w:numId w:val="1"/>
        </w:numPr>
        <w:jc w:val="center"/>
        <w:rPr>
          <w:b/>
          <w:bCs/>
          <w:sz w:val="36"/>
          <w:szCs w:val="36"/>
        </w:rPr>
      </w:pPr>
      <w:r>
        <w:rPr>
          <w:b/>
          <w:bCs/>
          <w:sz w:val="36"/>
          <w:szCs w:val="36"/>
        </w:rPr>
        <w:t>Conclusion</w:t>
      </w:r>
    </w:p>
    <w:p w:rsidR="00667F02" w:rsidRDefault="00667F02" w:rsidP="00667F02">
      <w:pPr>
        <w:pStyle w:val="ListParagraph"/>
        <w:rPr>
          <w:b/>
          <w:bCs/>
          <w:sz w:val="36"/>
          <w:szCs w:val="36"/>
        </w:rPr>
      </w:pPr>
      <w:r w:rsidRPr="00816502">
        <w:rPr>
          <w:b/>
          <w:bCs/>
          <w:sz w:val="36"/>
          <w:szCs w:val="36"/>
          <w:highlight w:val="yellow"/>
        </w:rPr>
        <w:t>WRITE THIS AND ABSTRACT IN THE END</w:t>
      </w:r>
    </w:p>
    <w:p w:rsidR="00667F02" w:rsidRDefault="00667F02" w:rsidP="00667F02">
      <w:pPr>
        <w:pStyle w:val="ListParagraph"/>
        <w:rPr>
          <w:b/>
          <w:bCs/>
          <w:sz w:val="36"/>
          <w:szCs w:val="36"/>
        </w:rPr>
      </w:pPr>
    </w:p>
    <w:p w:rsidR="00667F02" w:rsidRDefault="00667F02" w:rsidP="00667F02">
      <w:pPr>
        <w:pStyle w:val="ListParagraph"/>
        <w:rPr>
          <w:b/>
          <w:bCs/>
          <w:sz w:val="36"/>
          <w:szCs w:val="36"/>
        </w:rPr>
      </w:pPr>
    </w:p>
    <w:p w:rsidR="00667F02" w:rsidRDefault="00667F02" w:rsidP="00667F02">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667F02" w:rsidRDefault="00667F02" w:rsidP="00667F02">
      <w:pPr>
        <w:pStyle w:val="ListParagraph"/>
        <w:rPr>
          <w:b/>
          <w:bCs/>
          <w:sz w:val="36"/>
          <w:szCs w:val="36"/>
        </w:rPr>
      </w:pPr>
    </w:p>
    <w:p w:rsidR="00667F02" w:rsidRPr="003B1183" w:rsidRDefault="00667F02" w:rsidP="00667F02">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667F02" w:rsidRPr="009A79B6"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667F02" w:rsidRPr="009A79B6"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667F02" w:rsidRPr="00931409"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667F02" w:rsidRPr="003241BD"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667F02" w:rsidRPr="00ED15C5"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667F02" w:rsidRPr="009A79B6"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667F02" w:rsidRPr="009A79B6"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667F02" w:rsidRPr="009A79B6"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667F02" w:rsidRPr="00931409"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667F02" w:rsidRPr="00173238"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667F02" w:rsidRPr="00173238"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667F02" w:rsidRPr="00173238"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667F02" w:rsidRPr="00173238"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667F02" w:rsidRPr="00173238"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667F02" w:rsidRPr="00316379" w:rsidRDefault="00667F02" w:rsidP="00667F02">
      <w:pPr>
        <w:pStyle w:val="ListParagraph"/>
        <w:numPr>
          <w:ilvl w:val="0"/>
          <w:numId w:val="3"/>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667F02" w:rsidRPr="00BF2B8C"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667F02" w:rsidRPr="00931409" w:rsidRDefault="00667F02" w:rsidP="00667F02">
      <w:pPr>
        <w:pStyle w:val="ListParagraph"/>
        <w:rPr>
          <w:rFonts w:asciiTheme="majorHAnsi" w:hAnsiTheme="majorHAnsi" w:cstheme="majorHAnsi"/>
          <w:sz w:val="32"/>
          <w:szCs w:val="32"/>
        </w:rPr>
      </w:pPr>
    </w:p>
    <w:p w:rsidR="00667F02" w:rsidRPr="003443C9"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667F02" w:rsidRPr="003443C9" w:rsidRDefault="00667F02" w:rsidP="00667F02">
      <w:pPr>
        <w:pStyle w:val="ListParagraph"/>
        <w:rPr>
          <w:rFonts w:asciiTheme="majorHAnsi" w:hAnsiTheme="majorHAnsi" w:cstheme="majorHAnsi"/>
          <w:sz w:val="32"/>
          <w:szCs w:val="32"/>
        </w:rPr>
      </w:pPr>
    </w:p>
    <w:p w:rsidR="00897A33" w:rsidRPr="00ED1117" w:rsidRDefault="00667F02" w:rsidP="00277D8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sidR="00277D86">
        <w:rPr>
          <w:rFonts w:ascii="Arial" w:hAnsi="Arial" w:cs="Arial"/>
          <w:color w:val="222222"/>
          <w:sz w:val="20"/>
          <w:szCs w:val="20"/>
          <w:shd w:val="clear" w:color="auto" w:fill="FFFFFF"/>
        </w:rPr>
        <w:t>Soljačić</w:t>
      </w:r>
      <w:proofErr w:type="spellEnd"/>
      <w:r w:rsidR="00277D86">
        <w:rPr>
          <w:rFonts w:ascii="Arial" w:hAnsi="Arial" w:cs="Arial"/>
          <w:color w:val="222222"/>
          <w:sz w:val="20"/>
          <w:szCs w:val="20"/>
          <w:shd w:val="clear" w:color="auto" w:fill="FFFFFF"/>
        </w:rPr>
        <w:t xml:space="preserve">, M., </w:t>
      </w:r>
      <w:proofErr w:type="spellStart"/>
      <w:r w:rsidR="00277D86">
        <w:rPr>
          <w:rFonts w:ascii="Arial" w:hAnsi="Arial" w:cs="Arial"/>
          <w:color w:val="222222"/>
          <w:sz w:val="20"/>
          <w:szCs w:val="20"/>
          <w:shd w:val="clear" w:color="auto" w:fill="FFFFFF"/>
        </w:rPr>
        <w:t>Hou</w:t>
      </w:r>
      <w:proofErr w:type="spellEnd"/>
      <w:r w:rsidR="00277D86">
        <w:rPr>
          <w:rFonts w:ascii="Arial" w:hAnsi="Arial" w:cs="Arial"/>
          <w:color w:val="222222"/>
          <w:sz w:val="20"/>
          <w:szCs w:val="20"/>
          <w:shd w:val="clear" w:color="auto" w:fill="FFFFFF"/>
        </w:rPr>
        <w:t>, T.Y.</w:t>
      </w:r>
      <w:r w:rsidR="00277D86">
        <w:rPr>
          <w:rFonts w:ascii="Times New Roman" w:hAnsi="Times New Roman" w:cs="Times New Roman"/>
          <w:sz w:val="24"/>
          <w:szCs w:val="24"/>
        </w:rPr>
        <w:t xml:space="preserve"> </w:t>
      </w:r>
      <w:bookmarkStart w:id="0" w:name="_GoBack"/>
      <w:bookmarkEnd w:id="0"/>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897A33" w:rsidRPr="00ED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550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5B"/>
    <w:rsid w:val="00111AD3"/>
    <w:rsid w:val="00277D86"/>
    <w:rsid w:val="002C025B"/>
    <w:rsid w:val="00667F02"/>
    <w:rsid w:val="007362E5"/>
    <w:rsid w:val="00897A33"/>
    <w:rsid w:val="00ED1117"/>
    <w:rsid w:val="00F93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C6EAD-C826-426C-807F-120605D5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33"/>
    <w:pPr>
      <w:ind w:left="720"/>
      <w:contextualSpacing/>
    </w:pPr>
  </w:style>
  <w:style w:type="character" w:styleId="PlaceholderText">
    <w:name w:val="Placeholder Text"/>
    <w:basedOn w:val="DefaultParagraphFont"/>
    <w:uiPriority w:val="99"/>
    <w:semiHidden/>
    <w:rsid w:val="00111A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3281</Words>
  <Characters>18707</Characters>
  <Application>Microsoft Office Word</Application>
  <DocSecurity>0</DocSecurity>
  <Lines>155</Lines>
  <Paragraphs>43</Paragraphs>
  <ScaleCrop>false</ScaleCrop>
  <Company>HP</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8</cp:revision>
  <dcterms:created xsi:type="dcterms:W3CDTF">2025-01-16T11:53:00Z</dcterms:created>
  <dcterms:modified xsi:type="dcterms:W3CDTF">2025-01-19T13:25:00Z</dcterms:modified>
</cp:coreProperties>
</file>