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bookmarkStart w:id="0" w:name="_GoBack"/>
      <w:bookmarkEnd w:id="0"/>
      <w:r w:rsidRPr="001F38AA">
        <w:rPr>
          <w:b/>
          <w:bCs/>
          <w:sz w:val="36"/>
          <w:szCs w:val="36"/>
          <w:highlight w:val="yellow"/>
        </w:rPr>
        <w:t>WRITE THIS WHEN THE WORK IS DONE</w:t>
      </w:r>
    </w:p>
    <w:p w:rsidR="00166411" w:rsidRDefault="00166411"/>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273C19">
      <w:pPr>
        <w:rPr>
          <w:sz w:val="28"/>
          <w:szCs w:val="28"/>
        </w:rPr>
      </w:pPr>
      <w:r w:rsidRPr="00273C19">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w:t>
      </w:r>
    </w:p>
    <w:p w:rsidR="00273C19" w:rsidRDefault="00273C19" w:rsidP="00273C19">
      <w:pPr>
        <w:rPr>
          <w:sz w:val="28"/>
          <w:szCs w:val="28"/>
        </w:rPr>
      </w:pPr>
      <w:r w:rsidRPr="00273C19">
        <w:rPr>
          <w:sz w:val="28"/>
          <w:szCs w:val="28"/>
        </w:rPr>
        <w:t xml:space="preserve">The introduction of artificial neural networks (ANNs) has facilitated novel methodologies for the numerical resolution of ordinary differential equations (ODEs)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(MLPs) in approximating solutions to both initial value problems (IVPs) and boundary value problems (BVPs).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However, early iterations of ANN models encountered impediments, including a pronounced vulnerability to convergence at local minima and suboptimal rates of convergence.</w:t>
      </w:r>
    </w:p>
    <w:p w:rsidR="00592E7F" w:rsidRDefault="00592E7F" w:rsidP="00273C19">
      <w:pPr>
        <w:rPr>
          <w:sz w:val="28"/>
          <w:szCs w:val="28"/>
        </w:rPr>
      </w:pPr>
      <w:r w:rsidRPr="00592E7F">
        <w:rPr>
          <w:sz w:val="28"/>
          <w:szCs w:val="28"/>
        </w:rPr>
        <w:t xml:space="preserve">In order to address the limitations of traditional artificial neural networks (ANNs), advanced architectures have been introduced, including Radial Basis Function </w:t>
      </w:r>
      <w:r w:rsidRPr="00592E7F">
        <w:rPr>
          <w:sz w:val="28"/>
          <w:szCs w:val="28"/>
        </w:rPr>
        <w:lastRenderedPageBreak/>
        <w:t>Neural Networks (RBFNNs), Wavelet Neural Networks (WNNs), and Functional Link Neural Networks (FLNNs).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p>
    <w:p w:rsidR="00592E7F" w:rsidRDefault="00592E7F" w:rsidP="00273C19">
      <w:pPr>
        <w:rPr>
          <w:sz w:val="28"/>
          <w:szCs w:val="28"/>
        </w:rPr>
      </w:pPr>
      <w:r w:rsidRPr="00592E7F">
        <w:rPr>
          <w:sz w:val="28"/>
          <w:szCs w:val="28"/>
        </w:rPr>
        <w:t>Building upon this foundational principle, the Kolmogorov-Arnold Network (KAN) architecture presents a novel and robust framework specifically engineered for function approximation, demonstrating considerable potential for addressing ordinary differential equations (ODEs).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822DE5">
      <w:pPr>
        <w:rPr>
          <w:sz w:val="28"/>
          <w:szCs w:val="28"/>
        </w:rPr>
      </w:pPr>
      <w:r w:rsidRPr="00822DE5">
        <w:rPr>
          <w:sz w:val="28"/>
          <w:szCs w:val="28"/>
        </w:rPr>
        <w:t>The principal objective of this research is to employ the KAN architecture for the approximation of solutions to first- and second-order ordinary differential equations (ODEs). This examination signifies a substantial advancement in the integration of sophisticated machine learning methodologies within computational mathematics. In contrast to conventional artificial neural network (ANN)-based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822DE5">
      <w:pPr>
        <w:rPr>
          <w:sz w:val="28"/>
          <w:szCs w:val="28"/>
        </w:rPr>
      </w:pPr>
      <w:r w:rsidRPr="00822DE5">
        <w:rPr>
          <w:sz w:val="28"/>
          <w:szCs w:val="28"/>
        </w:rPr>
        <w:lastRenderedPageBreak/>
        <w:t>The rationale for implementing KAN in this framework arises from its capabilities to effectively tackle critical challenges associated with the resolution of ordinary differential equations (ODEs).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822DE5">
      <w:pPr>
        <w:rPr>
          <w:sz w:val="28"/>
          <w:szCs w:val="28"/>
        </w:rPr>
      </w:pPr>
      <w:r w:rsidRPr="008004F5">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(PDEs). Additionally, radial basis function neural networks (RBFNNs) 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822DE5">
      <w:pPr>
        <w:rPr>
          <w:sz w:val="28"/>
          <w:szCs w:val="28"/>
        </w:rPr>
      </w:pPr>
      <w:r w:rsidRPr="008004F5">
        <w:rPr>
          <w:sz w:val="28"/>
          <w:szCs w:val="28"/>
        </w:rPr>
        <w:t>Notwithstanding the advancements made in this field, significant deficiencies persist in the literature concerning the application of Kolmogorov-Arnold networks (KAN) to ordinary differential equations (ODEs). Although the Kolmogorov-Arnold theorem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2306B">
      <w:pPr>
        <w:rPr>
          <w:sz w:val="28"/>
          <w:szCs w:val="28"/>
        </w:rPr>
      </w:pPr>
      <w:r w:rsidRPr="00E548BB">
        <w:rPr>
          <w:sz w:val="28"/>
          <w:szCs w:val="28"/>
        </w:rPr>
        <w:t xml:space="preserve">The implications of this research transcend the direct utilization of KAN in the context of ordinary differential equations (ODEs). By establishing its efficacy as a versatile function </w:t>
      </w:r>
      <w:proofErr w:type="spellStart"/>
      <w:r w:rsidRPr="00E548BB">
        <w:rPr>
          <w:sz w:val="28"/>
          <w:szCs w:val="28"/>
        </w:rPr>
        <w:t>approximator</w:t>
      </w:r>
      <w:proofErr w:type="spellEnd"/>
      <w:r w:rsidRPr="00E548BB">
        <w:rPr>
          <w:sz w:val="28"/>
          <w:szCs w:val="28"/>
        </w:rPr>
        <w:t>, this investigation enriches the field of computational mathematics and neural network-based modeling. The findings derived from this study are anticipated to guide the advancement of next-</w:t>
      </w:r>
      <w:r w:rsidRPr="00E548BB">
        <w:rPr>
          <w:sz w:val="28"/>
          <w:szCs w:val="28"/>
        </w:rPr>
        <w:lastRenderedPageBreak/>
        <w: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onsequently, the Kolmogorov-Arnold Network (KAN) constitutes a significant progression in the application of machine learning techniques for the resolution of differential equations. Its distinctive architectural framework and theoretical foundations establish it as a formidable alternative to prevailing artificial neural network (ANN) methodologies. This research aims to enhance the current capabilities of neural network-based approaches in addressing first- and second-order ordinary differential equations (ODEs)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1223B6">
      <w:pPr>
        <w:rPr>
          <w:sz w:val="28"/>
          <w:szCs w:val="28"/>
        </w:rPr>
      </w:pPr>
      <w:r w:rsidRPr="00A22AA1">
        <w:rPr>
          <w:sz w:val="28"/>
          <w:szCs w:val="28"/>
        </w:rPr>
        <w:t>The Kolmogorov-Arnold Network (KAN) model is optimally configured for function approximation tasks, including the resolution of ordinary differential equations (ODEs), owing to its basis in the Kolmogorov-Arnold Theorem (KAT).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ordinary differential equations (ODEs). KANs are architected to optimize the advantages of the </w:t>
      </w:r>
      <w:r>
        <w:rPr>
          <w:sz w:val="28"/>
          <w:szCs w:val="28"/>
        </w:rPr>
        <w:t xml:space="preserve">KAT </w:t>
      </w:r>
      <w:r w:rsidRPr="00A22AA1">
        <w:rPr>
          <w:sz w:val="28"/>
          <w:szCs w:val="28"/>
        </w:rPr>
        <w:t xml:space="preserve">by structuring layers such that univariate basis functions are hierarchically composed, resulting in outputs that effectively approximate multivariate functions. In contrast to conventional multilayer </w:t>
      </w:r>
      <w:proofErr w:type="spellStart"/>
      <w:r w:rsidRPr="00A22AA1">
        <w:rPr>
          <w:sz w:val="28"/>
          <w:szCs w:val="28"/>
        </w:rPr>
        <w:t>perceptrons</w:t>
      </w:r>
      <w:proofErr w:type="spellEnd"/>
      <w:r w:rsidRPr="00A22AA1">
        <w:rPr>
          <w:sz w:val="28"/>
          <w:szCs w:val="28"/>
        </w:rPr>
        <w:t xml:space="preserve"> (MLPs),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(RBFs) as activation functions, selected for their smoothness properties and capacity for spatial </w:t>
      </w:r>
      <w:r w:rsidRPr="00A22AA1">
        <w:rPr>
          <w:sz w:val="28"/>
          <w:szCs w:val="28"/>
        </w:rPr>
        <w:lastRenderedPageBreak/>
        <w:t>localization of approximations. These RBFs facilitate a concentration of response from each hidden layer neuron to distinct regions of the input space, which is essential for the accurate resolution of ordinary differential equations (ODEs) where localized dynamics predomin</w:t>
      </w:r>
      <w:r w:rsidR="001223B6">
        <w:rPr>
          <w:sz w:val="28"/>
          <w:szCs w:val="28"/>
        </w:rPr>
        <w:t xml:space="preserve">antly influence system behavior. </w:t>
      </w:r>
      <w:r w:rsidR="001223B6" w:rsidRPr="001223B6">
        <w:rPr>
          <w:sz w:val="28"/>
          <w:szCs w:val="28"/>
        </w:rPr>
        <w:t xml:space="preserve">In contrast to Wavelet neural networks (WNNs),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While both WNNs and Radial Basis Function (RBF) networks demonstrate proficiency in distinct application domains, the hierarchical univariate decomposition characteristic of KANs is inherently more compatible with the requirements associated with ordinary differential equation (ODE)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Default="008E32CF" w:rsidP="00117ECC">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radial basis functions (RBFs) or B-splines, KANs demonstrate enhanced efficacy in approximating solutions to complex differential equations relative to </w:t>
      </w:r>
      <w:r w:rsidRPr="008E32CF">
        <w:rPr>
          <w:sz w:val="28"/>
          <w:szCs w:val="28"/>
        </w:rPr>
        <w:lastRenderedPageBreak/>
        <w:t>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ordinary differential equations (ODEs). Its theoretical </w:t>
      </w:r>
      <w:r w:rsidR="00117ECC">
        <w:rPr>
          <w:sz w:val="28"/>
          <w:szCs w:val="28"/>
        </w:rPr>
        <w:t>foundation</w:t>
      </w:r>
      <w:r w:rsidRPr="008E32CF">
        <w:rPr>
          <w:sz w:val="28"/>
          <w:szCs w:val="28"/>
        </w:rPr>
        <w:t>,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D17EFB" w:rsidP="00D17EFB">
      <w:pPr>
        <w:pStyle w:val="ListParagraph"/>
        <w:rPr>
          <w:sz w:val="28"/>
          <w:szCs w:val="28"/>
        </w:rPr>
      </w:pP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lastRenderedPageBreak/>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Selitskiy</w:t>
      </w:r>
      <w:proofErr w:type="spellEnd"/>
      <w:r>
        <w:rPr>
          <w:rFonts w:ascii="Arial" w:hAnsi="Arial" w:cs="Arial"/>
          <w:color w:val="222222"/>
          <w:sz w:val="20"/>
          <w:szCs w:val="20"/>
          <w:shd w:val="clear" w:color="auto" w:fill="FFFFFF"/>
        </w:rPr>
        <w:t xml:space="preserve">, S. (2022). Kolmogorov's Gate Non-linearity as a Step </w:t>
      </w:r>
      <w:proofErr w:type="gramStart"/>
      <w:r>
        <w:rPr>
          <w:rFonts w:ascii="Arial" w:hAnsi="Arial" w:cs="Arial"/>
          <w:color w:val="222222"/>
          <w:sz w:val="20"/>
          <w:szCs w:val="20"/>
          <w:shd w:val="clear" w:color="auto" w:fill="FFFFFF"/>
        </w:rPr>
        <w:t>toward</w:t>
      </w:r>
      <w:proofErr w:type="gramEnd"/>
      <w:r>
        <w:rPr>
          <w:rFonts w:ascii="Arial" w:hAnsi="Arial" w:cs="Arial"/>
          <w:color w:val="222222"/>
          <w:sz w:val="20"/>
          <w:szCs w:val="20"/>
          <w:shd w:val="clear" w:color="auto" w:fill="FFFFFF"/>
        </w:rPr>
        <w:t xml:space="preserve"> Much Smaller Artificial Neural Networks. In </w:t>
      </w:r>
      <w:r>
        <w:rPr>
          <w:rFonts w:ascii="Arial" w:hAnsi="Arial" w:cs="Arial"/>
          <w:i/>
          <w:iCs/>
          <w:color w:val="222222"/>
          <w:sz w:val="20"/>
          <w:szCs w:val="20"/>
          <w:shd w:val="clear" w:color="auto" w:fill="FFFFFF"/>
        </w:rPr>
        <w:t>ICEIS (1)</w:t>
      </w:r>
      <w:r>
        <w:rPr>
          <w:rFonts w:ascii="Arial" w:hAnsi="Arial" w:cs="Arial"/>
          <w:color w:val="222222"/>
          <w:sz w:val="20"/>
          <w:szCs w:val="20"/>
          <w:shd w:val="clear" w:color="auto" w:fill="FFFFFF"/>
        </w:rPr>
        <w:t> (pp. 492-499).</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Ahmad, M., &amp; </w:t>
      </w:r>
      <w:proofErr w:type="spellStart"/>
      <w:r>
        <w:rPr>
          <w:rFonts w:ascii="Arial" w:hAnsi="Arial" w:cs="Arial"/>
          <w:color w:val="222222"/>
          <w:sz w:val="20"/>
          <w:szCs w:val="20"/>
          <w:shd w:val="clear" w:color="auto" w:fill="FFFFFF"/>
        </w:rPr>
        <w:t>Ullah</w:t>
      </w:r>
      <w:proofErr w:type="spellEnd"/>
      <w:r>
        <w:rPr>
          <w:rFonts w:ascii="Arial" w:hAnsi="Arial" w:cs="Arial"/>
          <w:color w:val="222222"/>
          <w:sz w:val="20"/>
          <w:szCs w:val="20"/>
          <w:shd w:val="clear" w:color="auto" w:fill="FFFFFF"/>
        </w:rPr>
        <w:t>, B. (2020). Local radial basis function collocation method for stokes equations with interface conditions. </w:t>
      </w:r>
      <w:r>
        <w:rPr>
          <w:rFonts w:ascii="Arial" w:hAnsi="Arial" w:cs="Arial"/>
          <w:i/>
          <w:iCs/>
          <w:color w:val="222222"/>
          <w:sz w:val="20"/>
          <w:szCs w:val="20"/>
          <w:shd w:val="clear" w:color="auto" w:fill="FFFFFF"/>
        </w:rPr>
        <w:t>Engineering Analysis with Boundary Elements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119</w:t>
      </w:r>
      <w:r>
        <w:rPr>
          <w:rFonts w:ascii="Arial" w:hAnsi="Arial" w:cs="Arial"/>
          <w:color w:val="222222"/>
          <w:sz w:val="20"/>
          <w:szCs w:val="20"/>
          <w:shd w:val="clear" w:color="auto" w:fill="FFFFFF"/>
        </w:rPr>
        <w:t>, 246-256.</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377D21"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sectPr w:rsidR="00173238"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2306B"/>
    <w:rsid w:val="000447B6"/>
    <w:rsid w:val="00067E27"/>
    <w:rsid w:val="0009445E"/>
    <w:rsid w:val="000C5CC2"/>
    <w:rsid w:val="000F21BF"/>
    <w:rsid w:val="00117ECC"/>
    <w:rsid w:val="001223B6"/>
    <w:rsid w:val="00166411"/>
    <w:rsid w:val="00173238"/>
    <w:rsid w:val="001B286F"/>
    <w:rsid w:val="001F179C"/>
    <w:rsid w:val="001F38AA"/>
    <w:rsid w:val="00202A1D"/>
    <w:rsid w:val="00226CD9"/>
    <w:rsid w:val="00273C19"/>
    <w:rsid w:val="002A67AD"/>
    <w:rsid w:val="002E7298"/>
    <w:rsid w:val="00347BB8"/>
    <w:rsid w:val="003506D5"/>
    <w:rsid w:val="003642F5"/>
    <w:rsid w:val="00377D21"/>
    <w:rsid w:val="003A1B6A"/>
    <w:rsid w:val="003B1183"/>
    <w:rsid w:val="003C148E"/>
    <w:rsid w:val="003E05E9"/>
    <w:rsid w:val="003E43AE"/>
    <w:rsid w:val="00472F38"/>
    <w:rsid w:val="004E55CD"/>
    <w:rsid w:val="0052488A"/>
    <w:rsid w:val="005818C4"/>
    <w:rsid w:val="00592E7F"/>
    <w:rsid w:val="005B2F9A"/>
    <w:rsid w:val="005C7998"/>
    <w:rsid w:val="006823F0"/>
    <w:rsid w:val="00697753"/>
    <w:rsid w:val="006A1F07"/>
    <w:rsid w:val="006B4B71"/>
    <w:rsid w:val="00780F6D"/>
    <w:rsid w:val="007A3010"/>
    <w:rsid w:val="008004F5"/>
    <w:rsid w:val="0081323D"/>
    <w:rsid w:val="00816502"/>
    <w:rsid w:val="00822DE5"/>
    <w:rsid w:val="00855065"/>
    <w:rsid w:val="00884640"/>
    <w:rsid w:val="008A047D"/>
    <w:rsid w:val="008C4567"/>
    <w:rsid w:val="008E32CF"/>
    <w:rsid w:val="00904762"/>
    <w:rsid w:val="009A79B6"/>
    <w:rsid w:val="00A22AA1"/>
    <w:rsid w:val="00A35300"/>
    <w:rsid w:val="00A54309"/>
    <w:rsid w:val="00A56F7C"/>
    <w:rsid w:val="00B407F0"/>
    <w:rsid w:val="00B90AB4"/>
    <w:rsid w:val="00C43058"/>
    <w:rsid w:val="00C81CFC"/>
    <w:rsid w:val="00CE1914"/>
    <w:rsid w:val="00CF2D4D"/>
    <w:rsid w:val="00D17C1B"/>
    <w:rsid w:val="00D17EFB"/>
    <w:rsid w:val="00D8353A"/>
    <w:rsid w:val="00DA2305"/>
    <w:rsid w:val="00DF4381"/>
    <w:rsid w:val="00E20676"/>
    <w:rsid w:val="00E548BB"/>
    <w:rsid w:val="00EC3EBA"/>
    <w:rsid w:val="00EE44A0"/>
    <w:rsid w:val="00EF42E2"/>
    <w:rsid w:val="00F040E1"/>
    <w:rsid w:val="00F1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DCA2"/>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1593</cp:revision>
  <dcterms:created xsi:type="dcterms:W3CDTF">2024-09-25T10:06:00Z</dcterms:created>
  <dcterms:modified xsi:type="dcterms:W3CDTF">2025-01-05T04:40:00Z</dcterms:modified>
</cp:coreProperties>
</file>