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
    <w:p/>
    <w:p/>
    <w:p>
      <w:pPr>
        <w:jc w:val="center"/>
      </w:pPr>
      <w:r>
        <w:rPr>
          <w:rFonts w:ascii="Times New Roman" w:hAnsi="Times New Roman" w:eastAsia="Times New Roman" w:cs="Times New Roman"/>
          <w:sz w:val="56"/>
          <w:szCs w:val="56"/>
          <w:b w:val="1"/>
          <w:bCs w:val="1"/>
        </w:rPr>
        <w:t xml:space="preserve">EPAS-E</w:t>
      </w:r>
    </w:p>
    <w:p>
      <w:pPr>
        <w:jc w:val="center"/>
        <w:spacing w:after="200"/>
      </w:pPr>
      <w:r>
        <w:rPr>
          <w:rFonts w:ascii="Times New Roman" w:hAnsi="Times New Roman" w:eastAsia="Times New Roman" w:cs="Times New Roman"/>
          <w:sz w:val="28"/>
          <w:szCs w:val="28"/>
          <w:b w:val="1"/>
          <w:bCs w:val="1"/>
          <w:i w:val="1"/>
          <w:iCs w:val="1"/>
        </w:rPr>
        <w:t xml:space="preserve">Electronic Products Assembly and Servicing – Enhanced</w:t>
      </w:r>
    </w:p>
    <w:p/>
    <w:p>
      <w:pPr>
        <w:jc w:val="center"/>
        <w:spacing w:after="400"/>
      </w:pPr>
      <w:r>
        <w:rPr>
          <w:rFonts w:ascii="Times New Roman" w:hAnsi="Times New Roman" w:eastAsia="Times New Roman" w:cs="Times New Roman"/>
          <w:sz w:val="40"/>
          <w:szCs w:val="40"/>
          <w:b w:val="1"/>
          <w:bCs w:val="1"/>
        </w:rPr>
        <w:t xml:space="preserve">SCOPE AND LIMITATIONS</w:t>
      </w:r>
    </w:p>
    <w:p/>
    <w:p/>
    <w:p/>
    <w:p>
      <w:pPr>
        <w:jc w:val="center"/>
      </w:pPr>
      <w:r>
        <w:rPr>
          <w:rFonts w:ascii="Times New Roman" w:hAnsi="Times New Roman" w:eastAsia="Times New Roman" w:cs="Times New Roman"/>
          <w:sz w:val="28"/>
          <w:szCs w:val="28"/>
        </w:rPr>
        <w:t xml:space="preserve">Learning Management System</w:t>
      </w:r>
    </w:p>
    <w:p>
      <w:pPr>
        <w:jc w:val="center"/>
        <w:spacing w:after="120"/>
      </w:pPr>
      <w:r>
        <w:rPr>
          <w:rFonts w:ascii="Times New Roman" w:hAnsi="Times New Roman" w:eastAsia="Times New Roman" w:cs="Times New Roman"/>
          <w:sz w:val="24"/>
          <w:szCs w:val="24"/>
        </w:rPr>
        <w:t xml:space="preserve">Version 2.0</w:t>
      </w:r>
    </w:p>
    <w:p>
      <w:pPr>
        <w:jc w:val="center"/>
      </w:pPr>
      <w:r>
        <w:rPr>
          <w:rFonts w:ascii="Times New Roman" w:hAnsi="Times New Roman" w:eastAsia="Times New Roman" w:cs="Times New Roman"/>
          <w:sz w:val="24"/>
          <w:szCs w:val="24"/>
        </w:rPr>
        <w:t xml:space="preserve">March 2026</w:t>
      </w:r>
    </w:p>
    <w:p>
      <w:r>
        <w:br w:type="page"/>
      </w:r>
    </w:p>
    <w:p>
      <w:pPr>
        <w:pStyle w:val="Heading1"/>
      </w:pPr>
      <w:bookmarkStart w:id="0" w:name="_Toc0"/>
      <w:r>
        <w:t>Scope of the System</w:t>
      </w:r>
      <w:bookmarkEnd w:id="0"/>
    </w:p>
    <w:p>
      <w:pPr>
        <w:jc w:val="both"/>
        <w:spacing w:after="120" w:line="360" w:lineRule="auto"/>
      </w:pPr>
      <w:r>
        <w:rPr/>
        <w:t xml:space="preserve">The EPAS-E (Electronic Products Assembly and Servicing – Enhanced) Learning Management System is a web-based platform designed to support competency-based learning for Technical-Vocational Education and Training (TVET) programs. It is aligned with the standards set by the Technical Education and Skills Development Authority (TESDA) and is intended primarily for institutions offering National Certificate Level II (NC II) courses in the Electronics sector.</w:t>
      </w:r>
    </w:p>
    <w:p>
      <w:pPr>
        <w:jc w:val="both"/>
        <w:spacing w:after="120" w:line="360" w:lineRule="auto"/>
      </w:pPr>
      <w:r>
        <w:rPr/>
        <w:t xml:space="preserve">The system covers the following functional areas:</w:t>
      </w:r>
    </w:p>
    <w:p>
      <w:pPr>
        <w:pStyle w:val="Heading2"/>
      </w:pPr>
      <w:bookmarkStart w:id="1" w:name="_Toc1"/>
      <w:r>
        <w:t>Course and Content Management</w:t>
      </w:r>
      <w:bookmarkEnd w:id="1"/>
    </w:p>
    <w:p>
      <w:pPr>
        <w:jc w:val="both"/>
        <w:spacing w:after="120" w:line="360" w:lineRule="auto"/>
      </w:pPr>
      <w:r>
        <w:rPr/>
        <w:t xml:space="preserve">The system supports a hierarchical course structure organized as Course → Module → Information Sheet → Topic. Each module may contain multiple types of learning materials and assessments:</w:t>
      </w:r>
    </w:p>
    <w:p>
      <w:pPr>
        <w:spacing w:after="60" w:line="360" w:lineRule="auto"/>
        <w:numPr>
          <w:ilvl w:val="0"/>
          <w:numId w:val="4"/>
        </w:numPr>
      </w:pPr>
      <w:r>
        <w:rPr/>
        <w:t xml:space="preserve">Information Sheets – serve as the primary learning content for each module, supporting rich text formatting, embedded images, and file attachments.</w:t>
      </w:r>
    </w:p>
    <w:p>
      <w:pPr>
        <w:spacing w:after="60" w:line="360" w:lineRule="auto"/>
        <w:numPr>
          <w:ilvl w:val="0"/>
          <w:numId w:val="4"/>
        </w:numPr>
      </w:pPr>
      <w:r>
        <w:rPr/>
        <w:t xml:space="preserve">Topics – subdivisions within information sheets that organize content into manageable sections with optional part-by-part breakdowns and images.</w:t>
      </w:r>
    </w:p>
    <w:p>
      <w:pPr>
        <w:spacing w:after="60" w:line="360" w:lineRule="auto"/>
        <w:numPr>
          <w:ilvl w:val="0"/>
          <w:numId w:val="4"/>
        </w:numPr>
      </w:pPr>
      <w:r>
        <w:rPr/>
        <w:t xml:space="preserve">Self-Checks – auto-graded knowledge assessments supporting multiple question types including multiple choice, true/false, identification, enumeration, matching, and essay.</w:t>
      </w:r>
    </w:p>
    <w:p>
      <w:pPr>
        <w:spacing w:after="60" w:line="360" w:lineRule="auto"/>
        <w:numPr>
          <w:ilvl w:val="0"/>
          <w:numId w:val="4"/>
        </w:numPr>
      </w:pPr>
      <w:r>
        <w:rPr/>
        <w:t xml:space="preserve">Task Sheets – guided practical activities requiring students to perform specific tasks and record their findings against expected results and acceptable ranges.</w:t>
      </w:r>
    </w:p>
    <w:p>
      <w:pPr>
        <w:spacing w:after="60" w:line="360" w:lineRule="auto"/>
        <w:numPr>
          <w:ilvl w:val="0"/>
          <w:numId w:val="4"/>
        </w:numPr>
      </w:pPr>
      <w:r>
        <w:rPr/>
        <w:t xml:space="preserve">Job Sheets – step-by-step procedural worksheets with defined objectives, tools, safety requirements, and performance steps.</w:t>
      </w:r>
    </w:p>
    <w:p>
      <w:pPr>
        <w:spacing w:after="60" w:line="360" w:lineRule="auto"/>
        <w:numPr>
          <w:ilvl w:val="0"/>
          <w:numId w:val="4"/>
        </w:numPr>
      </w:pPr>
      <w:r>
        <w:rPr/>
        <w:t xml:space="preserve">Homework – extended learning assignments with file upload submission, due dates, and instructor grading.</w:t>
      </w:r>
    </w:p>
    <w:p>
      <w:pPr>
        <w:spacing w:after="60" w:line="360" w:lineRule="auto"/>
        <w:numPr>
          <w:ilvl w:val="0"/>
          <w:numId w:val="4"/>
        </w:numPr>
      </w:pPr>
      <w:r>
        <w:rPr/>
        <w:t xml:space="preserve">Checklists – competency verification instruments with item-level ratings on a 1–5 scale.</w:t>
      </w:r>
    </w:p>
    <w:p>
      <w:pPr>
        <w:jc w:val="both"/>
        <w:spacing w:after="120" w:line="360" w:lineRule="auto"/>
      </w:pPr>
      <w:r>
        <w:rPr/>
        <w:t xml:space="preserve">Instructors and administrators can create, edit, reorder, and delete all content types. The system supports document uploads (DOCX, PPTX, XLSX, PDF) with inline preview through automatic conversion to HTML.</w:t>
      </w:r>
    </w:p>
    <w:p>
      <w:pPr>
        <w:pStyle w:val="Heading2"/>
      </w:pPr>
      <w:bookmarkStart w:id="2" w:name="_Toc2"/>
      <w:r>
        <w:t>User Management and Access Control</w:t>
      </w:r>
      <w:bookmarkEnd w:id="2"/>
    </w:p>
    <w:p>
      <w:pPr>
        <w:jc w:val="both"/>
        <w:spacing w:after="120" w:line="360" w:lineRule="auto"/>
      </w:pPr>
      <w:r>
        <w:rPr/>
        <w:t xml:space="preserve">The system implements role-based access control with three user roles:</w:t>
      </w:r>
    </w:p>
    <w:p>
      <w:pPr>
        <w:spacing w:after="60" w:line="360" w:lineRule="auto"/>
        <w:numPr>
          <w:ilvl w:val="0"/>
          <w:numId w:val="4"/>
        </w:numPr>
      </w:pPr>
      <w:r>
        <w:rPr/>
        <w:t xml:space="preserve">Administrator – full system access including user management, course configuration, system settings, and audit logs.</w:t>
      </w:r>
    </w:p>
    <w:p>
      <w:pPr>
        <w:spacing w:after="60" w:line="360" w:lineRule="auto"/>
        <w:numPr>
          <w:ilvl w:val="0"/>
          <w:numId w:val="4"/>
        </w:numPr>
      </w:pPr>
      <w:r>
        <w:rPr/>
        <w:t xml:space="preserve">Instructor – manages assigned courses, creates content, grades student submissions, and monitors class progress.</w:t>
      </w:r>
    </w:p>
    <w:p>
      <w:pPr>
        <w:spacing w:after="60" w:line="360" w:lineRule="auto"/>
        <w:numPr>
          <w:ilvl w:val="0"/>
          <w:numId w:val="4"/>
        </w:numPr>
      </w:pPr>
      <w:r>
        <w:rPr/>
        <w:t xml:space="preserve">Student – accesses enrolled courses, completes assessments, submits work, and tracks personal progress.</w:t>
      </w:r>
    </w:p>
    <w:p>
      <w:pPr>
        <w:jc w:val="both"/>
        <w:spacing w:after="120" w:line="360" w:lineRule="auto"/>
      </w:pPr>
      <w:r>
        <w:rPr/>
        <w:t xml:space="preserve">User registration follows a multi-stage process requiring email verification and administrator approval. The system supports bulk user operations including CSV/Excel import, batch activation/deactivation, and section assignment. Two-factor authentication (TOTP) is available for enhanced account security.</w:t>
      </w:r>
    </w:p>
    <w:p>
      <w:pPr>
        <w:pStyle w:val="Heading2"/>
      </w:pPr>
      <w:bookmarkStart w:id="3" w:name="_Toc3"/>
      <w:r>
        <w:t>Assessment and Grading</w:t>
      </w:r>
      <w:bookmarkEnd w:id="3"/>
    </w:p>
    <w:p>
      <w:pPr>
        <w:jc w:val="both"/>
        <w:spacing w:after="120" w:line="360" w:lineRule="auto"/>
      </w:pPr>
      <w:r>
        <w:rPr/>
        <w:t xml:space="preserve">The system follows the Philippine K-12 grading scale with weighted module grades: Self-Checks (20%), Homework (30%), Task Sheets (25%), and Job Sheets (25%). Self-Checks are auto-graded by the system, while all other assessment types require manual instructor evaluation.</w:t>
      </w:r>
    </w:p>
    <w:p>
      <w:pPr>
        <w:jc w:val="both"/>
        <w:spacing w:after="120" w:line="360" w:lineRule="auto"/>
      </w:pPr>
      <w:r>
        <w:rPr/>
        <w:t xml:space="preserve">The grading scale used is: Outstanding (90–100), Very Satisfactory (85–89), Satisfactory (80–84), Fairly Satisfactory (75–79), and Did Not Meet Expectations (0–74). Grade exports to CSV and Excel formats are supported.</w:t>
      </w:r>
    </w:p>
    <w:p>
      <w:pPr>
        <w:pStyle w:val="Heading2"/>
      </w:pPr>
      <w:bookmarkStart w:id="4" w:name="_Toc4"/>
      <w:r>
        <w:t>Gamification</w:t>
      </w:r>
      <w:bookmarkEnd w:id="4"/>
    </w:p>
    <w:p>
      <w:pPr>
        <w:jc w:val="both"/>
        <w:spacing w:after="120" w:line="360" w:lineRule="auto"/>
      </w:pPr>
      <w:r>
        <w:rPr/>
        <w:t xml:space="preserve">The system includes a gamification engine that awards points for activities such as daily logins, assessment submissions, module completions, and perfect scores. A badge system with multiple criteria types (points-based, streaks, and milestones) provides additional motivation. Leaderboards rank students by accumulated points within their section, course, or institution-wide.</w:t>
      </w:r>
    </w:p>
    <w:p>
      <w:pPr>
        <w:pStyle w:val="Heading2"/>
      </w:pPr>
      <w:bookmarkStart w:id="5" w:name="_Toc5"/>
      <w:r>
        <w:t>Communication and Notifications</w:t>
      </w:r>
      <w:bookmarkEnd w:id="5"/>
    </w:p>
    <w:p>
      <w:pPr>
        <w:jc w:val="both"/>
        <w:spacing w:after="120" w:line="360" w:lineRule="auto"/>
      </w:pPr>
      <w:r>
        <w:rPr/>
        <w:t xml:space="preserve">Announcements can be targeted by user role and section, with options for pinning, urgency marking, and scheduled publishing. A discussion forum system supports threaded conversations with voting, best-answer marking, and subscription-based notifications.</w:t>
      </w:r>
    </w:p>
    <w:p>
      <w:pPr>
        <w:jc w:val="both"/>
        <w:spacing w:after="120" w:line="360" w:lineRule="auto"/>
      </w:pPr>
      <w:r>
        <w:rPr/>
        <w:t xml:space="preserve">The notification system delivers in-app and email notifications for events such as new announcements, grade postings, submission feedback, enrollment approvals, and account status changes.</w:t>
      </w:r>
    </w:p>
    <w:p>
      <w:pPr>
        <w:pStyle w:val="Heading2"/>
      </w:pPr>
      <w:bookmarkStart w:id="6" w:name="_Toc6"/>
      <w:r>
        <w:t>Analytics and Reporting</w:t>
      </w:r>
      <w:bookmarkEnd w:id="6"/>
    </w:p>
    <w:p>
      <w:pPr>
        <w:jc w:val="both"/>
        <w:spacing w:after="120" w:line="360" w:lineRule="auto"/>
      </w:pPr>
      <w:r>
        <w:rPr/>
        <w:t xml:space="preserve">Role-specific dashboards provide relevant metrics: students see course progress and upcoming deadlines; instructors see class performance, pending submissions, and at-risk students; administrators see system-wide statistics including user registration trends, course enrollment, and active user counts. Reports can be exported in PDF, Excel, and CSV formats.</w:t>
      </w:r>
    </w:p>
    <w:p>
      <w:pPr>
        <w:pStyle w:val="Heading2"/>
      </w:pPr>
      <w:bookmarkStart w:id="7" w:name="_Toc7"/>
      <w:r>
        <w:t>Security</w:t>
      </w:r>
      <w:bookmarkEnd w:id="7"/>
    </w:p>
    <w:p>
      <w:pPr>
        <w:jc w:val="both"/>
        <w:spacing w:after="120" w:line="360" w:lineRule="auto"/>
      </w:pPr>
      <w:r>
        <w:rPr/>
        <w:t xml:space="preserve">The system enforces HTTPS, CSRF protection, XSS prevention through content sanitization (HTMLPurifier), SQL injection prevention through parameterized queries, security headers (CSP, X-Frame-Options, HSTS), rate limiting on login and registration, comprehensive audit logging, session management with idle and absolute timeouts, and password policy enforcement.</w:t>
      </w:r>
    </w:p>
    <w:p>
      <w:pPr>
        <w:pStyle w:val="Heading2"/>
      </w:pPr>
      <w:bookmarkStart w:id="8" w:name="_Toc8"/>
      <w:r>
        <w:t>Technical Architecture</w:t>
      </w:r>
      <w:bookmarkEnd w:id="8"/>
    </w:p>
    <w:p>
      <w:pPr>
        <w:jc w:val="both"/>
        <w:spacing w:after="120" w:line="360" w:lineRule="auto"/>
      </w:pPr>
      <w:r>
        <w:rPr/>
        <w:t xml:space="preserve">EPAS-E is built on Laravel 12 (PHP 8.2+) with Blade templating, Livewire for interactive components, and Bootstrap 5 for the user interface. The database layer supports MySQL/MariaDB for production and SQLite for testing. The platform is installable as a Progressive Web App (PWA) with service worker caching and offline page support.</w:t>
      </w:r>
    </w:p>
    <w:p>
      <w:r>
        <w:br w:type="page"/>
      </w:r>
    </w:p>
    <w:p>
      <w:pPr>
        <w:pStyle w:val="Heading1"/>
      </w:pPr>
      <w:bookmarkStart w:id="9" w:name="_Toc9"/>
      <w:r>
        <w:t>Limitations of the System</w:t>
      </w:r>
      <w:bookmarkEnd w:id="9"/>
    </w:p>
    <w:p>
      <w:pPr>
        <w:jc w:val="both"/>
        <w:spacing w:after="120" w:line="360" w:lineRule="auto"/>
      </w:pPr>
      <w:r>
        <w:rPr/>
        <w:t xml:space="preserve">While the EPAS-E LMS provides comprehensive functionality for competency-based TVET programs, the following limitations should be noted:</w:t>
      </w:r>
    </w:p>
    <w:p>
      <w:pPr>
        <w:pStyle w:val="Heading2"/>
      </w:pPr>
      <w:bookmarkStart w:id="10" w:name="_Toc10"/>
      <w:r>
        <w:t>Internet Connectivity Requirement</w:t>
      </w:r>
      <w:bookmarkEnd w:id="10"/>
    </w:p>
    <w:p>
      <w:pPr>
        <w:jc w:val="both"/>
        <w:spacing w:after="120" w:line="360" w:lineRule="auto"/>
      </w:pPr>
      <w:r>
        <w:rPr/>
        <w:t xml:space="preserve">The system is a web-based application that requires an active internet connection for full functionality. Although the PWA service worker provides an offline fallback page, students cannot access learning materials, take assessments, or submit work without a network connection. This may pose challenges in areas with limited or unreliable internet access.</w:t>
      </w:r>
    </w:p>
    <w:p>
      <w:pPr>
        <w:pStyle w:val="Heading2"/>
      </w:pPr>
      <w:bookmarkStart w:id="11" w:name="_Toc11"/>
      <w:r>
        <w:t>Single-Institution Deployment</w:t>
      </w:r>
      <w:bookmarkEnd w:id="11"/>
    </w:p>
    <w:p>
      <w:pPr>
        <w:jc w:val="both"/>
        <w:spacing w:after="120" w:line="360" w:lineRule="auto"/>
      </w:pPr>
      <w:r>
        <w:rPr/>
        <w:t xml:space="preserve">The current version is designed for single-institution use. Multi-tenancy or multi-campus support with shared infrastructure is not yet implemented. Each institution requires its own separate deployment and database instance.</w:t>
      </w:r>
    </w:p>
    <w:p>
      <w:pPr>
        <w:pStyle w:val="Heading2"/>
      </w:pPr>
      <w:bookmarkStart w:id="12" w:name="_Toc12"/>
      <w:r>
        <w:t>Language Support</w:t>
      </w:r>
      <w:bookmarkEnd w:id="12"/>
    </w:p>
    <w:p>
      <w:pPr>
        <w:jc w:val="both"/>
        <w:spacing w:after="120" w:line="360" w:lineRule="auto"/>
      </w:pPr>
      <w:r>
        <w:rPr/>
        <w:t xml:space="preserve">The system interface is available in English only. Multi-language or localization support is not currently implemented. Content created by instructors may be in any language, but system labels, navigation, and error messages remain in English.</w:t>
      </w:r>
    </w:p>
    <w:p>
      <w:pPr>
        <w:pStyle w:val="Heading2"/>
      </w:pPr>
      <w:bookmarkStart w:id="13" w:name="_Toc13"/>
      <w:r>
        <w:t>Assessment Type Constraints</w:t>
      </w:r>
      <w:bookmarkEnd w:id="13"/>
    </w:p>
    <w:p>
      <w:pPr>
        <w:jc w:val="both"/>
        <w:spacing w:after="120" w:line="360" w:lineRule="auto"/>
      </w:pPr>
      <w:r>
        <w:rPr/>
        <w:t xml:space="preserve">Auto-grading is limited to Self-Check assessments. Task Sheets, Job Sheets, Homework, and Checklists require manual instructor evaluation. The system does not support automated proctoring for examinations. Advanced interactive question types such as drag-and-drop, hotspot, and simulation-based items are not yet available.</w:t>
      </w:r>
    </w:p>
    <w:p>
      <w:pPr>
        <w:pStyle w:val="Heading2"/>
      </w:pPr>
      <w:bookmarkStart w:id="14" w:name="_Toc14"/>
      <w:r>
        <w:t>File and Media Handling</w:t>
      </w:r>
      <w:bookmarkEnd w:id="14"/>
    </w:p>
    <w:p>
      <w:pPr>
        <w:jc w:val="both"/>
        <w:spacing w:after="120" w:line="360" w:lineRule="auto"/>
      </w:pPr>
      <w:r>
        <w:rPr/>
        <w:t xml:space="preserve">Document preview (inline HTML rendering) is supported for DOCX, PPTX, XLSX, and PDF files. However, complex formatting, embedded macros, charts, and SmartArt in uploaded documents may not render accurately in the inline preview. Image-only PDFs (scanned documents without text layers) will display a placeholder message instead of actual content. File upload size limits are enforced at 10 MB for documents, 5 MB for images, 20 MB for audio, and 100 MB for video.</w:t>
      </w:r>
    </w:p>
    <w:p>
      <w:pPr>
        <w:pStyle w:val="Heading2"/>
      </w:pPr>
      <w:bookmarkStart w:id="15" w:name="_Toc15"/>
      <w:r>
        <w:t>Real-Time Collaboration</w:t>
      </w:r>
      <w:bookmarkEnd w:id="15"/>
    </w:p>
    <w:p>
      <w:pPr>
        <w:jc w:val="both"/>
        <w:spacing w:after="120" w:line="360" w:lineRule="auto"/>
      </w:pPr>
      <w:r>
        <w:rPr/>
        <w:t xml:space="preserve">The system does not support real-time collaborative features such as simultaneous document editing, live chat, or video conferencing. Communication is asynchronous through announcements, forum posts, and notifications. Direct messaging between users is planned for a future release.</w:t>
      </w:r>
    </w:p>
    <w:p>
      <w:pPr>
        <w:pStyle w:val="Heading2"/>
      </w:pPr>
      <w:bookmarkStart w:id="16" w:name="_Toc16"/>
      <w:r>
        <w:t>Mobile Application</w:t>
      </w:r>
      <w:bookmarkEnd w:id="16"/>
    </w:p>
    <w:p>
      <w:pPr>
        <w:jc w:val="both"/>
        <w:spacing w:after="120" w:line="360" w:lineRule="auto"/>
      </w:pPr>
      <w:r>
        <w:rPr/>
        <w:t xml:space="preserve">EPAS-E is a responsive web application accessible through mobile browsers and installable as a PWA. However, it is not available as a native mobile application on the Apple App Store or Google Play Store. Some features may have a reduced experience on smaller screen devices.</w:t>
      </w:r>
    </w:p>
    <w:p>
      <w:pPr>
        <w:pStyle w:val="Heading2"/>
      </w:pPr>
      <w:bookmarkStart w:id="17" w:name="_Toc17"/>
      <w:r>
        <w:t>Third-Party Integrations</w:t>
      </w:r>
      <w:bookmarkEnd w:id="17"/>
    </w:p>
    <w:p>
      <w:pPr>
        <w:jc w:val="both"/>
        <w:spacing w:after="120" w:line="360" w:lineRule="auto"/>
      </w:pPr>
      <w:r>
        <w:rPr/>
        <w:t xml:space="preserve">Current integrations are limited to SMTP email delivery (Gmail), UI Avatars for default profile images, and CDN-hosted frontend libraries. OAuth-based social login (Google, Microsoft), SMS notifications, cloud storage providers (AWS S3, Google Cloud), and learning standards (LTI, xAPI, SCORM) are not yet integrated.</w:t>
      </w:r>
    </w:p>
    <w:p>
      <w:pPr>
        <w:pStyle w:val="Heading2"/>
      </w:pPr>
      <w:bookmarkStart w:id="18" w:name="_Toc18"/>
      <w:r>
        <w:t>Scalability Considerations</w:t>
      </w:r>
      <w:bookmarkEnd w:id="18"/>
    </w:p>
    <w:p>
      <w:pPr>
        <w:jc w:val="both"/>
        <w:spacing w:after="120" w:line="360" w:lineRule="auto"/>
      </w:pPr>
      <w:r>
        <w:rPr/>
        <w:t xml:space="preserve">The system uses a synchronous queue driver by default, which means background tasks such as email notifications execute within the HTTP request cycle. For institutions with a large number of users, this may cause performance bottlenecks unless the queue is configured to use a database or Redis driver with a dedicated queue worker process.</w:t>
      </w:r>
    </w:p>
    <w:p>
      <w:pPr>
        <w:pStyle w:val="Heading2"/>
      </w:pPr>
      <w:bookmarkStart w:id="19" w:name="_Toc19"/>
      <w:r>
        <w:t>Custom Reporting</w:t>
      </w:r>
      <w:bookmarkEnd w:id="19"/>
    </w:p>
    <w:p>
      <w:pPr>
        <w:jc w:val="both"/>
        <w:spacing w:after="120" w:line="360" w:lineRule="auto"/>
      </w:pPr>
      <w:r>
        <w:rPr/>
        <w:t xml:space="preserve">While the system provides pre-built analytics dashboards and standard report exports, it does not include a custom report builder or ad-hoc query interface. Administrators requiring specialized reports beyond the available templates would need to extract data directly from the database.</w:t>
      </w:r>
    </w:p>
    <w:p>
      <w:pPr>
        <w:pStyle w:val="Heading2"/>
      </w:pPr>
      <w:bookmarkStart w:id="20" w:name="_Toc20"/>
      <w:r>
        <w:t>Accessibility Compliance</w:t>
      </w:r>
      <w:bookmarkEnd w:id="20"/>
    </w:p>
    <w:p>
      <w:pPr>
        <w:jc w:val="both"/>
        <w:spacing w:after="120" w:line="360" w:lineRule="auto"/>
      </w:pPr>
      <w:r>
        <w:rPr/>
        <w:t xml:space="preserve">The system aims for WCAG 2.1 compliance with keyboard navigation, ARIA labels, and color contrast considerations. However, full WCAG 2.1 AA compliance has not been formally audited or certified. Users requiring assistive technology should verify compatibility with their specific tools.</w:t>
      </w:r>
    </w:p>
    <w:p>
      <w:pPr>
        <w:pStyle w:val="Heading2"/>
      </w:pPr>
      <w:bookmarkStart w:id="21" w:name="_Toc21"/>
      <w:r>
        <w:t>Data Backup and Recovery</w:t>
      </w:r>
      <w:bookmarkEnd w:id="21"/>
    </w:p>
    <w:p>
      <w:pPr>
        <w:jc w:val="both"/>
        <w:spacing w:after="120" w:line="360" w:lineRule="auto"/>
      </w:pPr>
      <w:r>
        <w:rPr/>
        <w:t xml:space="preserve">The system does not include built-in automated backup and disaster recovery features. Database backups, file storage backups, and restoration procedures must be managed at the server infrastructure level by the system administrator.</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C691C4CD"/>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4">
    <w:abstractNumId w:val="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spacing w:after="120"/>
    </w:pPr>
    <w:rPr>
      <w:rFonts w:ascii="Times New Roman" w:hAnsi="Times New Roman" w:eastAsia="Times New Roman" w:cs="Times New Roman"/>
      <w:sz w:val="32"/>
      <w:szCs w:val="32"/>
      <w:b w:val="1"/>
      <w:bCs w:val="1"/>
    </w:rPr>
  </w:style>
  <w:style w:type="paragraph" w:styleId="Heading2">
    <w:link w:val="Heading2Char"/>
    <w:name w:val="heading 2"/>
    <w:basedOn w:val="Normal"/>
    <w:pPr>
      <w:spacing w:before="240" w:after="100"/>
    </w:pPr>
    <w:rPr>
      <w:rFonts w:ascii="Times New Roman" w:hAnsi="Times New Roman" w:eastAsia="Times New Roman" w:cs="Times New Roman"/>
      <w:sz w:val="28"/>
      <w:szCs w:val="28"/>
      <w:b w:val="1"/>
      <w:bCs w:val="1"/>
    </w:rPr>
  </w:style>
  <w:style w:type="paragraph" w:styleId="Heading3">
    <w:link w:val="Heading3Char"/>
    <w:name w:val="heading 3"/>
    <w:basedOn w:val="Normal"/>
    <w:pPr>
      <w:spacing w:before="200" w:after="80"/>
    </w:pPr>
    <w:rPr>
      <w:rFonts w:ascii="Times New Roman" w:hAnsi="Times New Roman" w:eastAsia="Times New Roman" w:cs="Times New Roman"/>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2026-03-05T10:59:34+00:00</dcterms:created>
  <dcterms:modified xsi:type="dcterms:W3CDTF">2026-03-05T10:59:34+00:00</dcterms:modified>
</cp:coreProperties>
</file>

<file path=docProps/custom.xml><?xml version="1.0" encoding="utf-8"?>
<Properties xmlns="http://schemas.openxmlformats.org/officeDocument/2006/custom-properties" xmlns:vt="http://schemas.openxmlformats.org/officeDocument/2006/docPropsVTypes"/>
</file>