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Building a Volatility-Aware Options Screener:</w:t>
      </w:r>
    </w:p>
    <w:p>
      <w:pPr>
        <w:spacing w:after="200"/>
        <w:jc w:val="center"/>
      </w:pPr>
      <w:r>
        <w:rPr>
          <w:rFonts w:ascii="Times New Roman" w:cs="Times New Roman" w:eastAsia="Times New Roman" w:hAnsi="Times New Roman"/>
          <w:b/>
          <w:bCs/>
          <w:sz w:val="32"/>
          <w:szCs w:val="32"/>
        </w:rPr>
        <w:t xml:space="preserve">Research, Design, and Implementation</w:t>
      </w:r>
    </w:p>
    <w:p>
      <w:pPr>
        <w:spacing w:after="40"/>
        <w:jc w:val="center"/>
      </w:pPr>
      <w:r>
        <w:rPr>
          <w:rFonts w:ascii="Times New Roman" w:cs="Times New Roman" w:eastAsia="Times New Roman" w:hAnsi="Times New Roman"/>
          <w:sz w:val="24"/>
          <w:szCs w:val="24"/>
        </w:rPr>
        <w:t xml:space="preserve">Kavin</w:t>
      </w:r>
    </w:p>
    <w:p>
      <w:pPr>
        <w:pBdr>
          <w:bottom w:val="single" w:color="000000" w:sz="6" w:space="10"/>
        </w:pBdr>
        <w:spacing w:after="240"/>
        <w:jc w:val="center"/>
      </w:pPr>
      <w:r>
        <w:rPr>
          <w:rFonts w:ascii="Times New Roman" w:cs="Times New Roman" w:eastAsia="Times New Roman" w:hAnsi="Times New Roman"/>
          <w:i/>
          <w:iCs/>
          <w:sz w:val="20"/>
          <w:szCs w:val="20"/>
        </w:rPr>
        <w:t xml:space="preserve">Independent Project</w:t>
      </w:r>
    </w:p>
    <w:p>
      <w:pPr>
        <w:pStyle w:val="Heading1"/>
        <w:spacing w:after="140" w:before="320"/>
      </w:pPr>
      <w:r>
        <w:rPr>
          <w:rFonts w:ascii="Times New Roman" w:cs="Times New Roman" w:eastAsia="Times New Roman" w:hAnsi="Times New Roman"/>
          <w:b/>
          <w:bCs/>
          <w:sz w:val="24"/>
          <w:szCs w:val="24"/>
        </w:rPr>
        <w:t xml:space="preserve">1.  Why I Built This</w:t>
      </w:r>
    </w:p>
    <w:p>
      <w:pPr>
        <w:spacing w:after="0" w:line="282"/>
        <w:jc w:val="both"/>
      </w:pPr>
      <w:r>
        <w:rPr>
          <w:rFonts w:ascii="Times New Roman" w:cs="Times New Roman" w:eastAsia="Times New Roman" w:hAnsi="Times New Roman"/>
          <w:sz w:val="22"/>
          <w:szCs w:val="22"/>
        </w:rPr>
        <w:t xml:space="preserve">I’ve spent the last year teaching myself to turn questions into code. First with a research paper on market patterns, then with trading indicator work, and now with this project. Options intrigue me due to the many factors that influence pricing. Many contracts look enticing if you ignore liquidity, execution costs, or the difference between a fair bet and a good one. So I wanted to explore all of this, learn about the factors that influence option pricing, and create something out of it. And so I created a dashboard that accounts for those factors and ranks option strategies.</w:t>
      </w:r>
    </w:p>
    <w:p>
      <w:pPr>
        <w:spacing w:after="0" w:line="282"/>
        <w:ind w:firstLine="504"/>
        <w:jc w:val="both"/>
      </w:pPr>
      <w:r>
        <w:rPr>
          <w:rFonts w:ascii="Times New Roman" w:cs="Times New Roman" w:eastAsia="Times New Roman" w:hAnsi="Times New Roman"/>
          <w:sz w:val="22"/>
          <w:szCs w:val="22"/>
        </w:rPr>
        <w:t xml:space="preserve">Before I started any code, a lot of learning was required. I spent a lot of time reading information about options, starting with the basic Greeks and moving into more advanced models and factors like Black-Scholes and binomial pricing, Heston and SVI volatility surfaces, and the variance risk premium literature (Corsi’s HAR-RV model, Bollerslev-Tauchen-Zhou). It was only after this that I turned that research into a concrete plan and started building.</w:t>
      </w:r>
    </w:p>
    <w:p>
      <w:pPr>
        <w:pStyle w:val="Heading1"/>
        <w:spacing w:after="140" w:before="320"/>
      </w:pPr>
      <w:r>
        <w:rPr>
          <w:rFonts w:ascii="Times New Roman" w:cs="Times New Roman" w:eastAsia="Times New Roman" w:hAnsi="Times New Roman"/>
          <w:b/>
          <w:bCs/>
          <w:sz w:val="24"/>
          <w:szCs w:val="24"/>
        </w:rPr>
        <w:t xml:space="preserve">2.  The Research Phase</w:t>
      </w:r>
    </w:p>
    <w:p>
      <w:pPr>
        <w:spacing w:after="0" w:line="282"/>
        <w:jc w:val="both"/>
      </w:pPr>
      <w:r>
        <w:rPr>
          <w:rFonts w:ascii="Times New Roman" w:cs="Times New Roman" w:eastAsia="Times New Roman" w:hAnsi="Times New Roman"/>
          <w:sz w:val="22"/>
          <w:szCs w:val="22"/>
        </w:rPr>
        <w:t xml:space="preserve">The core idea I took from the research is that there’s no single formula that reliably finds a mispriced option. Whatever real edge exists for a personal screener tends to come from one of a few places: noticing when the market’s implied volatility disagrees with what you’d actually forecast realized volatility to be, calculating a trade’s true expected value across every possible outcome instead of just the best and worst case, or finding contracts that look rich or cheap compared to a fitted curve of the whole volatility surface. That third one is easy to fool yourself with. A messy quote, a thin market, or a wrong assumption about dividends can make something look “mispriced” when it’s really just an error in your own model. So I built the safer version first: pair a volatility read with a proper expected-value calculation, and treat the option Greeks as a check on risk, not as a source of edge on their own. That one decision shaped everything else I built.</w:t>
      </w:r>
    </w:p>
    <w:p>
      <w:pPr>
        <w:pStyle w:val="Heading1"/>
        <w:spacing w:after="140" w:before="320"/>
      </w:pPr>
      <w:r>
        <w:rPr>
          <w:rFonts w:ascii="Times New Roman" w:cs="Times New Roman" w:eastAsia="Times New Roman" w:hAnsi="Times New Roman"/>
          <w:b/>
          <w:bCs/>
          <w:sz w:val="24"/>
          <w:szCs w:val="24"/>
        </w:rPr>
        <w:t xml:space="preserve">3.  What I Actually Built</w:t>
      </w:r>
    </w:p>
    <w:p>
      <w:pPr>
        <w:spacing w:after="0" w:line="282"/>
        <w:jc w:val="both"/>
      </w:pPr>
      <w:r>
        <w:rPr>
          <w:rFonts w:ascii="Times New Roman" w:cs="Times New Roman" w:eastAsia="Times New Roman" w:hAnsi="Times New Roman"/>
          <w:sz w:val="22"/>
          <w:szCs w:val="22"/>
        </w:rPr>
        <w:t xml:space="preserve">The project is a full working app, containing a Python backend (using FastAPI), a small database to store data, and a React frontend for the dashboard itself. Data comes from Massive.com’s options API, which gives live option chain data (bid/ask prices, volume, open interest, implied volatility, and the Greeks), but it doesn’t hand you a ready-made history of past implied volatility. So the app is built to save its own daily snapshots over time and build that history itself.</w:t>
      </w:r>
    </w:p>
    <w:p>
      <w:pPr>
        <w:spacing w:after="0" w:line="282"/>
        <w:ind w:firstLine="504"/>
        <w:jc w:val="both"/>
      </w:pPr>
      <w:r>
        <w:rPr>
          <w:rFonts w:ascii="Times New Roman" w:cs="Times New Roman" w:eastAsia="Times New Roman" w:hAnsi="Times New Roman"/>
          <w:sz w:val="22"/>
          <w:szCs w:val="22"/>
        </w:rPr>
        <w:t xml:space="preserve">The backend is roughly 4,300 lines of Python, split into a handful of pieces that each do one job:</w:t>
      </w:r>
    </w:p>
    <w:p>
      <w:pPr>
        <w:spacing w:after="0" w:line="282"/>
        <w:ind w:firstLine="504"/>
        <w:jc w:val="both"/>
      </w:pPr>
      <w:r>
        <w:rPr>
          <w:rFonts w:ascii="Times New Roman" w:cs="Times New Roman" w:eastAsia="Times New Roman" w:hAnsi="Times New Roman"/>
          <w:b/>
          <w:bCs/>
          <w:sz w:val="22"/>
          <w:szCs w:val="22"/>
        </w:rPr>
        <w:t xml:space="preserve">Liquidity gate.</w:t>
      </w:r>
      <w:r>
        <w:rPr>
          <w:rFonts w:ascii="Times New Roman" w:cs="Times New Roman" w:eastAsia="Times New Roman" w:hAnsi="Times New Roman"/>
          <w:sz w:val="22"/>
          <w:szCs w:val="22"/>
        </w:rPr>
        <w:t xml:space="preserve"> Before any contract is even considered for ranking, it’s checked for how easy it would actually be to trade: how wide the bid/ask spread is, how much open interest and volume it has. This exists so the app never tells you a contract looks like a “great trade” when in reality nobody’s actually trading it and you’d get a bad price the moment you tried.</w:t>
      </w:r>
    </w:p>
    <w:p>
      <w:pPr>
        <w:spacing w:after="0" w:line="282"/>
        <w:ind w:firstLine="504"/>
        <w:jc w:val="both"/>
      </w:pPr>
      <w:r>
        <w:rPr>
          <w:rFonts w:ascii="Times New Roman" w:cs="Times New Roman" w:eastAsia="Times New Roman" w:hAnsi="Times New Roman"/>
          <w:b/>
          <w:bCs/>
          <w:sz w:val="22"/>
          <w:szCs w:val="22"/>
        </w:rPr>
        <w:t xml:space="preserve">IV Rank and IV Percentile.</w:t>
      </w:r>
      <w:r>
        <w:rPr>
          <w:rFonts w:ascii="Times New Roman" w:cs="Times New Roman" w:eastAsia="Times New Roman" w:hAnsi="Times New Roman"/>
          <w:sz w:val="22"/>
          <w:szCs w:val="22"/>
        </w:rPr>
        <w:t xml:space="preserve"> These take today’s implied volatility and put it in context against the last year of history, so you can tell whether current volatility is unusually high, unusually low, or normal. If there isn’t enough saved history yet, the app says so directly instead of pretending to be confident.</w:t>
      </w:r>
    </w:p>
    <w:p>
      <w:pPr>
        <w:spacing w:after="0" w:line="282"/>
        <w:ind w:firstLine="504"/>
        <w:jc w:val="both"/>
      </w:pPr>
      <w:r>
        <w:rPr>
          <w:rFonts w:ascii="Times New Roman" w:cs="Times New Roman" w:eastAsia="Times New Roman" w:hAnsi="Times New Roman"/>
          <w:sz w:val="22"/>
          <w:szCs w:val="22"/>
        </w:rPr>
        <w:t xml:space="preserve">The app also calculates its own forecast of how volatile the stock is likely to be, based on its recent price history, and compares that forecast to the market’s implied volatility. The gap between the two is the whole point, it tells you whether the market is pricing in more movement than you’d expect, or less.</w:t>
      </w:r>
    </w:p>
    <w:p>
      <w:pPr>
        <w:spacing w:after="0" w:line="282"/>
        <w:ind w:firstLine="504"/>
        <w:jc w:val="both"/>
      </w:pPr>
      <w:r>
        <w:rPr>
          <w:rFonts w:ascii="Times New Roman" w:cs="Times New Roman" w:eastAsia="Times New Roman" w:hAnsi="Times New Roman"/>
          <w:sz w:val="22"/>
          <w:szCs w:val="22"/>
        </w:rPr>
        <w:t xml:space="preserve">From there, a strategy builder puts together actual tradeable setups: credit spreads, debit spreads, and iron condors (a structure with four separate legs). Each leg is picked based on how far out of the money it is, and every single leg has to pass the liquidity gate first before it’s allowed into a candidate trade.</w:t>
      </w:r>
    </w:p>
    <w:p>
      <w:pPr>
        <w:spacing w:after="0" w:line="282"/>
        <w:ind w:firstLine="504"/>
        <w:jc w:val="both"/>
      </w:pPr>
      <w:r>
        <w:rPr>
          <w:rFonts w:ascii="Times New Roman" w:cs="Times New Roman" w:eastAsia="Times New Roman" w:hAnsi="Times New Roman"/>
          <w:b/>
          <w:bCs/>
          <w:sz w:val="22"/>
          <w:szCs w:val="22"/>
        </w:rPr>
        <w:t xml:space="preserve">Expected value / probability engine.</w:t>
      </w:r>
      <w:r>
        <w:rPr>
          <w:rFonts w:ascii="Times New Roman" w:cs="Times New Roman" w:eastAsia="Times New Roman" w:hAnsi="Times New Roman"/>
          <w:sz w:val="22"/>
          <w:szCs w:val="22"/>
        </w:rPr>
        <w:t xml:space="preserve"> This is the part I’m most proud of getting right. A common shortcut in retail tools is to calculate a trade’s expected value as a simple bet: chance of winning times the max win, minus chance of losing times the max loss. That’s actually wrong for spreads and condors, because the stock can land anywhere, and most outcomes are partial wins or partial losses, not just the two extremes. My version instead lays out hundreds of possible prices the stock could be at when the option expires, calculates the exact profit or loss at every single one of those prices, and weighs each one by how likely it actually is. It does this twice: once using my own volatility forecast, and once using the market’s implied volatility, so the dashboard can show both “what I expect” and “what the market is pricing in” side by side, and let you see when they disagree.</w:t>
      </w:r>
    </w:p>
    <w:p>
      <w:pPr>
        <w:spacing w:after="0" w:line="282"/>
        <w:ind w:firstLine="504"/>
        <w:jc w:val="both"/>
      </w:pPr>
      <w:r>
        <w:rPr>
          <w:rFonts w:ascii="Times New Roman" w:cs="Times New Roman" w:eastAsia="Times New Roman" w:hAnsi="Times New Roman"/>
          <w:b/>
          <w:bCs/>
          <w:sz w:val="22"/>
          <w:szCs w:val="22"/>
        </w:rPr>
        <w:t xml:space="preserve">Greek efficiency check.</w:t>
      </w:r>
      <w:r>
        <w:rPr>
          <w:rFonts w:ascii="Times New Roman" w:cs="Times New Roman" w:eastAsia="Times New Roman" w:hAnsi="Times New Roman"/>
          <w:sz w:val="22"/>
          <w:szCs w:val="22"/>
        </w:rPr>
        <w:t xml:space="preserve"> The Greeks for a whole strategy (not just one leg) get added up and turned into a score that rewards a strategy for collecting good return without taking on too much unwanted risk, rather than just rewarding whichever strategy has the single biggest number, which usually just points you toward the riskiest, shortest-dated contracts.</w:t>
      </w:r>
    </w:p>
    <w:p>
      <w:pPr>
        <w:pStyle w:val="Heading1"/>
        <w:spacing w:after="140" w:before="320"/>
      </w:pPr>
      <w:r>
        <w:rPr>
          <w:rFonts w:ascii="Times New Roman" w:cs="Times New Roman" w:eastAsia="Times New Roman" w:hAnsi="Times New Roman"/>
          <w:b/>
          <w:bCs/>
          <w:sz w:val="24"/>
          <w:szCs w:val="24"/>
        </w:rPr>
        <w:t xml:space="preserve">4.  The Liquidity Gate</w:t>
      </w:r>
    </w:p>
    <w:p>
      <w:pPr>
        <w:spacing w:after="0" w:line="282"/>
        <w:jc w:val="both"/>
      </w:pPr>
      <w:r>
        <w:rPr>
          <w:rFonts w:ascii="Times New Roman" w:cs="Times New Roman" w:eastAsia="Times New Roman" w:hAnsi="Times New Roman"/>
          <w:sz w:val="22"/>
          <w:szCs w:val="22"/>
        </w:rPr>
        <w:t xml:space="preserve">The liquidity gate runs before anything else, because a good-looking score on an untradeable contract is worse than no score at all. Contracts that fail the hard filters are removed entirely; contracts that pass but look weak keep a warning attached and score lower. Table 1 lists the default thresholds.</w:t>
      </w:r>
    </w:p>
    <w:p>
      <w:pPr>
        <w:spacing w:after="100" w:before="22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Default liquidity thresholds. All are configurable at runtime.</w:t>
      </w:r>
    </w:p>
    <w:tbl>
      <w:tblPr>
        <w:tblW w:type="dxa" w:w="9360"/>
        <w:tblBorders>
          <w:top w:val="single" w:color="000000" w:sz="8"/>
          <w:left w:val="none" w:color="FFFFFF" w:sz="0"/>
          <w:bottom w:val="single" w:color="000000" w:sz="8"/>
          <w:right w:val="none" w:color="FFFFFF" w:sz="0"/>
          <w:insideH w:val="single" w:color="BFBFBF" w:sz="2"/>
          <w:insideV w:val="none" w:color="FFFFFF" w:sz="0"/>
        </w:tblBorders>
      </w:tblPr>
      <w:tblGrid>
        <w:gridCol w:w="3400"/>
        <w:gridCol w:w="2360"/>
        <w:gridCol w:w="3600"/>
      </w:tblGrid>
      <w:tr>
        <w:trPr>
          <w:tblHeader/>
        </w:trPr>
        <w:tc>
          <w:tcPr>
            <w:tcW w:type="dxa" w:w="340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Filter</w:t>
            </w:r>
          </w:p>
        </w:tc>
        <w:tc>
          <w:tcPr>
            <w:tcW w:type="dxa" w:w="236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Default</w:t>
            </w:r>
          </w:p>
        </w:tc>
        <w:tc>
          <w:tcPr>
            <w:tcW w:type="dxa" w:w="360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If violated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Open interest + volume</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 100 combined</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Rejected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Bid</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&gt; 0</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Rejected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Ask</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&gt; bid</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Rejected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Bid/ask spread</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 15% of mid</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Rejected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Spread, far out-of-the-money</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 25% of mid</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Allowed, penalized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Quote age, under 7 DTE</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 45 minutes</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Rejected</w:t>
            </w:r>
          </w:p>
        </w:tc>
      </w:tr>
      <w:tr>
        <w:trPr>
          <w:tblHeader w:val="false"/>
        </w:trPr>
        <w:tc>
          <w:tcPr>
            <w:tcW w:type="dxa" w:w="34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Quote age, 14+ DTE</w:t>
            </w:r>
          </w:p>
        </w:tc>
        <w:tc>
          <w:tcPr>
            <w:tcW w:type="dxa" w:w="23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 120 minutes</w:t>
            </w:r>
          </w:p>
        </w:tc>
        <w:tc>
          <w:tcPr>
            <w:tcW w:type="dxa" w:w="36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Warning only</w:t>
            </w:r>
          </w:p>
        </w:tc>
      </w:tr>
    </w:tbl>
    <w:p>
      <w:pPr>
        <w:spacing w:after="0" w:line="282"/>
        <w:jc w:val="both"/>
      </w:pPr>
      <w:r>
        <w:rPr>
          <w:rFonts w:ascii="Times New Roman" w:cs="Times New Roman" w:eastAsia="Times New Roman" w:hAnsi="Times New Roman"/>
          <w:sz w:val="22"/>
          <w:szCs w:val="22"/>
        </w:rPr>
        <w:t xml:space="preserve">The liquidity score itself is a weighted blend of those same inputs. When live bid/ask data is available, the spread carries 50% of the weight, open interest 30%, and volume 20%. When the provider omits quotes, which happens regularly on the delayed tier, the app falls back to weighting open interest at 55% and volume at 35%, and treats the missing spread as neutral rather than silently assuming it is fine. I added that fallback after finding the original filter rejecting heavily traded near-the-money contracts purely because the provider had returned no quote for them.</w:t>
      </w:r>
    </w:p>
    <w:p>
      <w:pPr>
        <w:pStyle w:val="Heading1"/>
        <w:spacing w:after="140" w:before="320"/>
      </w:pPr>
      <w:r>
        <w:rPr>
          <w:rFonts w:ascii="Times New Roman" w:cs="Times New Roman" w:eastAsia="Times New Roman" w:hAnsi="Times New Roman"/>
          <w:b/>
          <w:bCs/>
          <w:sz w:val="24"/>
          <w:szCs w:val="24"/>
        </w:rPr>
        <w:t xml:space="preserve">5.  Volatility and Expected-Value Model</w:t>
      </w:r>
    </w:p>
    <w:p>
      <w:pPr>
        <w:spacing w:after="0" w:line="282"/>
        <w:jc w:val="both"/>
      </w:pPr>
      <w:r>
        <w:rPr>
          <w:rFonts w:ascii="Times New Roman" w:cs="Times New Roman" w:eastAsia="Times New Roman" w:hAnsi="Times New Roman"/>
          <w:sz w:val="22"/>
          <w:szCs w:val="22"/>
        </w:rPr>
        <w:t xml:space="preserve">The volatility read has two halves. The first is a forecast of how much the stock will actually move, built by blending realized volatility over three lookback windows, weighted toward the most recent: 50% on the last 10 days, 30% on the last 20, and 20% on the last 60. Blending several windows matters because volatility clusters at more than one timescale, so a single lookback either overreacts to a quiet stretch or lags a real change in regime.</w:t>
      </w:r>
    </w:p>
    <w:p>
      <w:pPr>
        <w:spacing w:after="0" w:line="282"/>
        <w:ind w:firstLine="504"/>
        <w:jc w:val="both"/>
      </w:pPr>
      <w:r>
        <w:rPr>
          <w:rFonts w:ascii="Times New Roman" w:cs="Times New Roman" w:eastAsia="Times New Roman" w:hAnsi="Times New Roman"/>
          <w:sz w:val="22"/>
          <w:szCs w:val="22"/>
        </w:rPr>
        <w:t xml:space="preserve">The second half compares that forecast against the market’s implied volatility. The difference is computed in variance space rather than volatility space, which is the convention in the academic literature, then converted to a 0–100 score. A large positive gap means the market is pricing in more movement than the forecast expects, which favors selling premium; a large negative gap favors buying it.</w:t>
      </w:r>
    </w:p>
    <w:p>
      <w:pPr>
        <w:spacing w:after="0" w:line="282"/>
        <w:ind w:firstLine="504"/>
        <w:jc w:val="both"/>
      </w:pPr>
      <w:r>
        <w:rPr>
          <w:rFonts w:ascii="Times New Roman" w:cs="Times New Roman" w:eastAsia="Times New Roman" w:hAnsi="Times New Roman"/>
          <w:sz w:val="22"/>
          <w:szCs w:val="22"/>
        </w:rPr>
        <w:t xml:space="preserve">The expected-value engine then evaluates each candidate across a grid of 800 possible expiration prices, spanning roughly four standard deviations in each direction. Each price gets an exact payoff and a lognormal probability, and the probabilities are normalized to sum to one so the result is a valid distribution rather than a raw density. Commission ($0.65 per contract) and slippage ($0.02 per contract) are subtracted before scoring, not after, so no candidate can rank well on an edge that execution costs would erase. The whole calculation runs twice, once under the forecast volatility and once under the market’s implied volatility, and both results are displayed.</w:t>
      </w:r>
    </w:p>
    <w:p>
      <w:pPr>
        <w:pStyle w:val="Heading1"/>
        <w:spacing w:after="140" w:before="320"/>
      </w:pPr>
      <w:r>
        <w:rPr>
          <w:rFonts w:ascii="Times New Roman" w:cs="Times New Roman" w:eastAsia="Times New Roman" w:hAnsi="Times New Roman"/>
          <w:b/>
          <w:bCs/>
          <w:sz w:val="24"/>
          <w:szCs w:val="24"/>
        </w:rPr>
        <w:t xml:space="preserve">6.  Composite Scoring</w:t>
      </w:r>
    </w:p>
    <w:p>
      <w:pPr>
        <w:spacing w:after="0" w:line="282"/>
        <w:jc w:val="both"/>
      </w:pPr>
      <w:r>
        <w:rPr>
          <w:rFonts w:ascii="Times New Roman" w:cs="Times New Roman" w:eastAsia="Times New Roman" w:hAnsi="Times New Roman"/>
          <w:sz w:val="22"/>
          <w:szCs w:val="22"/>
        </w:rPr>
        <w:t xml:space="preserve">Each component score is on a 0–100 scale, then combined using weights that depend on the type of strategy being evaluated. Table 2 gives the three profiles.</w:t>
      </w:r>
    </w:p>
    <w:p>
      <w:pPr>
        <w:spacing w:after="100" w:before="22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Composite score weights by strategy profile.</w:t>
      </w:r>
    </w:p>
    <w:tbl>
      <w:tblPr>
        <w:tblW w:type="dxa" w:w="9360"/>
        <w:tblBorders>
          <w:top w:val="single" w:color="000000" w:sz="8"/>
          <w:left w:val="none" w:color="FFFFFF" w:sz="0"/>
          <w:bottom w:val="single" w:color="000000" w:sz="8"/>
          <w:right w:val="none" w:color="FFFFFF" w:sz="0"/>
          <w:insideH w:val="single" w:color="BFBFBF" w:sz="2"/>
          <w:insideV w:val="none" w:color="FFFFFF" w:sz="0"/>
        </w:tblBorders>
      </w:tblPr>
      <w:tblGrid>
        <w:gridCol w:w="3720"/>
        <w:gridCol w:w="1880"/>
        <w:gridCol w:w="1880"/>
        <w:gridCol w:w="1880"/>
      </w:tblGrid>
      <w:tr>
        <w:trPr>
          <w:tblHeader/>
        </w:trPr>
        <w:tc>
          <w:tcPr>
            <w:tcW w:type="dxa" w:w="372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Component</w:t>
            </w:r>
          </w:p>
        </w:tc>
        <w:tc>
          <w:tcPr>
            <w:tcW w:type="dxa" w:w="188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Short premium</w:t>
            </w:r>
          </w:p>
        </w:tc>
        <w:tc>
          <w:tcPr>
            <w:tcW w:type="dxa" w:w="188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Long volatility</w:t>
            </w:r>
          </w:p>
        </w:tc>
        <w:tc>
          <w:tcPr>
            <w:tcW w:type="dxa" w:w="188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Neutral</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Volatility edge</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0.20</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Expected value (Alpha)</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0.30</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Liquidity</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0.20</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0.20</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0.25</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Greek efficiency</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0.15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0.15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0.15</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IV Rank / Percentile context</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0.10</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w:t>
            </w:r>
          </w:p>
        </w:tc>
      </w:tr>
      <w:tr>
        <w:trPr>
          <w:tblHeader w:val="false"/>
        </w:trPr>
        <w:tc>
          <w:tcPr>
            <w:tcW w:type="dxa" w:w="372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Risk / reward</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0.05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0.05</w:t>
            </w:r>
          </w:p>
        </w:tc>
        <w:tc>
          <w:tcPr>
            <w:tcW w:type="dxa" w:w="188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0.10</w:t>
            </w:r>
          </w:p>
        </w:tc>
      </w:tr>
    </w:tbl>
    <w:p>
      <w:pPr>
        <w:spacing w:after="0" w:line="282"/>
        <w:jc w:val="both"/>
      </w:pPr>
      <w:r>
        <w:rPr>
          <w:rFonts w:ascii="Times New Roman" w:cs="Times New Roman" w:eastAsia="Times New Roman" w:hAnsi="Times New Roman"/>
          <w:sz w:val="22"/>
          <w:szCs w:val="22"/>
        </w:rPr>
        <w:t xml:space="preserve">Alpha is expected value divided by maximum loss, which puts trades risking very different dollar amounts on a comparable scale. It is mapped onto the 0–100 range so that an Alpha of 0.02 scores 60, 0.05 scores 75, and 0.10 or better saturates at 100.</w:t>
      </w:r>
    </w:p>
    <w:p>
      <w:pPr>
        <w:spacing w:after="0" w:line="282"/>
        <w:ind w:firstLine="504"/>
        <w:jc w:val="both"/>
      </w:pPr>
      <w:r>
        <w:rPr>
          <w:rFonts w:ascii="Times New Roman" w:cs="Times New Roman" w:eastAsia="Times New Roman" w:hAnsi="Times New Roman"/>
          <w:sz w:val="22"/>
          <w:szCs w:val="22"/>
        </w:rPr>
        <w:t xml:space="preserve">Penalties are then subtracted from the weighted total. These are deliberately blunt, because each one represents a way the underlying model becomes less trustworthy, not merely a less attractive trade.</w:t>
      </w:r>
    </w:p>
    <w:p>
      <w:pPr>
        <w:spacing w:after="100" w:before="22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Risk penalties subtracted from the composite score.</w:t>
      </w:r>
    </w:p>
    <w:tbl>
      <w:tblPr>
        <w:tblW w:type="dxa" w:w="9360"/>
        <w:tblBorders>
          <w:top w:val="single" w:color="000000" w:sz="8"/>
          <w:left w:val="none" w:color="FFFFFF" w:sz="0"/>
          <w:bottom w:val="single" w:color="000000" w:sz="8"/>
          <w:right w:val="none" w:color="FFFFFF" w:sz="0"/>
          <w:insideH w:val="single" w:color="BFBFBF" w:sz="2"/>
          <w:insideV w:val="none" w:color="FFFFFF" w:sz="0"/>
        </w:tblBorders>
      </w:tblPr>
      <w:tblGrid>
        <w:gridCol w:w="6560"/>
        <w:gridCol w:w="2800"/>
      </w:tblGrid>
      <w:tr>
        <w:trPr>
          <w:tblHeader/>
        </w:trPr>
        <w:tc>
          <w:tcPr>
            <w:tcW w:type="dxa" w:w="656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Condition</w:t>
            </w:r>
          </w:p>
        </w:tc>
        <w:tc>
          <w:tcPr>
            <w:tcW w:type="dxa" w:w="280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Penalty</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Fewer than 7 days to expiration</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−30</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Negative modeled expected value</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−12</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Fewer than 14 days to expiration</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−10</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High probability of profit with negative expected value</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−8</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Short call with assignment / ex-dividend exposure</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−5</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Delayed provider data in use</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−3</w:t>
            </w:r>
          </w:p>
        </w:tc>
      </w:tr>
      <w:tr>
        <w:trPr>
          <w:tblHeader w:val="false"/>
        </w:trPr>
        <w:tc>
          <w:tcPr>
            <w:tcW w:type="dxa" w:w="6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IV history still accumulating</w:t>
            </w:r>
          </w:p>
        </w:tc>
        <w:tc>
          <w:tcPr>
            <w:tcW w:type="dxa" w:w="28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−3</w:t>
            </w:r>
          </w:p>
        </w:tc>
      </w:tr>
    </w:tbl>
    <w:p>
      <w:pPr>
        <w:spacing w:after="0" w:line="282"/>
        <w:jc w:val="both"/>
      </w:pPr>
      <w:r>
        <w:rPr>
          <w:rFonts w:ascii="Times New Roman" w:cs="Times New Roman" w:eastAsia="Times New Roman" w:hAnsi="Times New Roman"/>
          <w:sz w:val="22"/>
          <w:szCs w:val="22"/>
        </w:rPr>
        <w:t xml:space="preserve">The short-dated penalty is the largest for a specific reason: the lognormal probability model the expected-value engine relies on degrades badly as expiration approaches, so a high score on a contract expiring in three days is more likely to reflect model error than genuine opportunity. For the same reason, IV Rank and IV Percentile are held at a neutral value until at least 30 daily snapshots have been stored, rather than being computed from a handful of days and presented as though they carried a year of context.</w:t>
      </w:r>
    </w:p>
    <w:p>
      <w:pPr>
        <w:spacing w:after="0" w:line="282"/>
        <w:ind w:firstLine="504"/>
        <w:jc w:val="both"/>
      </w:pPr>
      <w:r>
        <w:rPr>
          <w:rFonts w:ascii="Times New Roman" w:cs="Times New Roman" w:eastAsia="Times New Roman" w:hAnsi="Times New Roman"/>
          <w:sz w:val="22"/>
          <w:szCs w:val="22"/>
        </w:rPr>
        <w:t xml:space="preserve">Final scores are graded A at 90 and above, B at 80, C at 70, D at 60, and F below that. Every candidate also carries a written explanation assembled from its own score breakdown, and every explanation ends with the same two statements: that the result requires backtest confirmation, and that it is not financial advice.</w:t>
      </w:r>
    </w:p>
    <w:p>
      <w:pPr>
        <w:pStyle w:val="Heading1"/>
        <w:spacing w:after="140" w:before="320"/>
      </w:pPr>
      <w:r>
        <w:rPr>
          <w:rFonts w:ascii="Times New Roman" w:cs="Times New Roman" w:eastAsia="Times New Roman" w:hAnsi="Times New Roman"/>
          <w:b/>
          <w:bCs/>
          <w:sz w:val="24"/>
          <w:szCs w:val="24"/>
        </w:rPr>
        <w:t xml:space="preserve">7.  Testing</w:t>
      </w:r>
    </w:p>
    <w:p>
      <w:pPr>
        <w:spacing w:after="0" w:line="282"/>
        <w:jc w:val="both"/>
      </w:pPr>
      <w:r>
        <w:rPr>
          <w:rFonts w:ascii="Times New Roman" w:cs="Times New Roman" w:eastAsia="Times New Roman" w:hAnsi="Times New Roman"/>
          <w:sz w:val="22"/>
          <w:szCs w:val="22"/>
        </w:rPr>
        <w:t xml:space="preserve">I tried to treat this less like a quick trading script and more like a small, careful codebase. There are 70 automated tests across 13 files, roughly 990 lines of test code against 4,300 lines of application code, and all 70 currently pass. The distribution is deliberately weighted toward the math rather than the plumbing.</w:t>
      </w:r>
    </w:p>
    <w:p>
      <w:pPr>
        <w:spacing w:after="100" w:before="22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Automated test coverage by module.</w:t>
      </w:r>
    </w:p>
    <w:tbl>
      <w:tblPr>
        <w:tblW w:type="dxa" w:w="9360"/>
        <w:tblBorders>
          <w:top w:val="single" w:color="000000" w:sz="8"/>
          <w:left w:val="none" w:color="FFFFFF" w:sz="0"/>
          <w:bottom w:val="single" w:color="000000" w:sz="8"/>
          <w:right w:val="none" w:color="FFFFFF" w:sz="0"/>
          <w:insideH w:val="single" w:color="BFBFBF" w:sz="2"/>
          <w:insideV w:val="none" w:color="FFFFFF" w:sz="0"/>
        </w:tblBorders>
      </w:tblPr>
      <w:tblGrid>
        <w:gridCol w:w="3560"/>
        <w:gridCol w:w="900"/>
        <w:gridCol w:w="4900"/>
      </w:tblGrid>
      <w:tr>
        <w:trPr>
          <w:tblHeader/>
        </w:trPr>
        <w:tc>
          <w:tcPr>
            <w:tcW w:type="dxa" w:w="356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Module under test</w:t>
            </w:r>
          </w:p>
        </w:tc>
        <w:tc>
          <w:tcPr>
            <w:tcW w:type="dxa" w:w="90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Tests</w:t>
            </w:r>
          </w:p>
        </w:tc>
        <w:tc>
          <w:tcPr>
            <w:tcW w:type="dxa" w:w="4900"/>
            <w:shd w:fill="EFEFEF" w:val="clear"/>
            <w:tcMar>
              <w:top w:type="dxa" w:w="40"/>
              <w:left w:type="dxa" w:w="110"/>
              <w:bottom w:type="dxa" w:w="40"/>
              <w:right w:type="dxa" w:w="110"/>
            </w:tcMar>
          </w:tcPr>
          <w:p>
            <w:pPr>
              <w:spacing w:after="0" w:line="260"/>
            </w:pPr>
            <w:r>
              <w:rPr>
                <w:rFonts w:ascii="Times New Roman" w:cs="Times New Roman" w:eastAsia="Times New Roman" w:hAnsi="Times New Roman"/>
                <w:b/>
                <w:bCs/>
                <w:sz w:val="20"/>
                <w:szCs w:val="20"/>
              </w:rPr>
              <w:t xml:space="preserve">Representative assertion</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Liquidity filtering</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10</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A contract with no bid is rejected outright</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IV Rank / Percentile</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8</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Current IV at the historical minimum returns 0</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Candidate tracking</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8</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Stored candidates reprice against later quotes</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Payoff calculations</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7</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Iron condor payoff correct at every terminal price</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Probability grid</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7</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Probabilities sum to 1 across the grid</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Realized volatility</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7</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A constant price series produces zero volatility</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Composite scoring</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6</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A risk penalty measurably lowers rank</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Strategy builder</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4</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No candidate uses a leg that failed liquidity</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Contract metrics</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4</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Mid, spread, and DTE derived correctly</w:t>
            </w:r>
          </w:p>
        </w:tc>
      </w:tr>
      <w:tr>
        <w:trPr>
          <w:tblHeader w:val="false"/>
        </w:trPr>
        <w:tc>
          <w:tcPr>
            <w:tcW w:type="dxa" w:w="356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Schemas, chain, health, normalization</w:t>
            </w:r>
          </w:p>
        </w:tc>
        <w:tc>
          <w:tcPr>
            <w:tcW w:type="dxa" w:w="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9</w:t>
            </w:r>
          </w:p>
        </w:tc>
        <w:tc>
          <w:tcPr>
            <w:tcW w:type="dxa" w:w="4900"/>
            <w:tcMar>
              <w:top w:type="dxa" w:w="40"/>
              <w:left w:type="dxa" w:w="110"/>
              <w:bottom w:type="dxa" w:w="40"/>
              <w:right w:type="dxa" w:w="110"/>
            </w:tcMar>
          </w:tcPr>
          <w:p>
            <w:pPr>
              <w:spacing w:after="0" w:line="260"/>
            </w:pPr>
            <w:r>
              <w:rPr>
                <w:rFonts w:ascii="Times New Roman" w:cs="Times New Roman" w:eastAsia="Times New Roman" w:hAnsi="Times New Roman"/>
                <w:b w:val="false"/>
                <w:bCs w:val="false"/>
                <w:sz w:val="20"/>
                <w:szCs w:val="20"/>
              </w:rPr>
              <w:t xml:space="preserve">Malformed provider fields do not crash the app</w:t>
            </w:r>
          </w:p>
        </w:tc>
      </w:tr>
    </w:tbl>
    <w:p>
      <w:pPr>
        <w:spacing w:after="0" w:line="282"/>
        <w:jc w:val="both"/>
      </w:pPr>
      <w:r>
        <w:rPr>
          <w:rFonts w:ascii="Times New Roman" w:cs="Times New Roman" w:eastAsia="Times New Roman" w:hAnsi="Times New Roman"/>
          <w:sz w:val="22"/>
          <w:szCs w:val="22"/>
        </w:rPr>
        <w:t xml:space="preserve">The test for realized volatility on a flat price series and the test that probabilities sum to one are both trivial to write and were both worth writing. Neither failure would have been visible from looking at dashboard output, since a subtly wrong volatility number still renders as a perfectly plausible-looking score.</w:t>
      </w:r>
    </w:p>
    <w:p>
      <w:pPr>
        <w:spacing w:after="0" w:line="282"/>
        <w:ind w:firstLine="504"/>
        <w:jc w:val="both"/>
      </w:pPr>
      <w:r>
        <w:rPr>
          <w:rFonts w:ascii="Times New Roman" w:cs="Times New Roman" w:eastAsia="Times New Roman" w:hAnsi="Times New Roman"/>
          <w:sz w:val="22"/>
          <w:szCs w:val="22"/>
        </w:rPr>
        <w:t xml:space="preserve">The code that talks to Massive’s API also has real retry logic with exponential backoff, and it translates the provider’s specific data format into the app’s own internal format, so the rest of the app never has to know or care exactly how Massive structures its data. That means I could swap in a different data provider later without having to touch any of the scoring logic.</w:t>
      </w:r>
    </w:p>
    <w:p>
      <w:pPr>
        <w:pStyle w:val="Heading1"/>
        <w:spacing w:after="140" w:before="320"/>
      </w:pPr>
      <w:r>
        <w:rPr>
          <w:rFonts w:ascii="Times New Roman" w:cs="Times New Roman" w:eastAsia="Times New Roman" w:hAnsi="Times New Roman"/>
          <w:b/>
          <w:bCs/>
          <w:sz w:val="24"/>
          <w:szCs w:val="24"/>
        </w:rPr>
        <w:t xml:space="preserve">8.  What This Project Is Not, and Why That Matters</w:t>
      </w:r>
    </w:p>
    <w:p>
      <w:pPr>
        <w:spacing w:after="0" w:line="282"/>
        <w:jc w:val="both"/>
      </w:pPr>
      <w:r>
        <w:rPr>
          <w:rFonts w:ascii="Times New Roman" w:cs="Times New Roman" w:eastAsia="Times New Roman" w:hAnsi="Times New Roman"/>
          <w:sz w:val="22"/>
          <w:szCs w:val="22"/>
        </w:rPr>
        <w:t xml:space="preserve">I was deliberate about being upfront on limitations, because I think that honesty is part of the actual point of the project. The system hasn’t been tested against real historical data yet, that’s planned but not built. A scoring model that hasn’t been checked against history is still just a guess dressed up in numbers, not a proven strategy. The market data I’d be using is delayed by 15 minutes, so this is meant as a research tool for slower-moving trades, not something built for fast, same-second decisions. Single stocks can also jump suddenly around news like earnings, in a way that no volatility forecast based on past prices can fully see coming. And the “chance of profit” numbers come from a mathematical model, not a guarantee, that model gets shakier the shorter the time left on the option, which is part of why the app refuses to consider options that are too close to expiring. None of this is something I discovered after the fact, it was part of the design from the start, which is why the app is careful to use language like “modeled expectancy” instead of anything that sounds certain.</w:t>
      </w:r>
    </w:p>
    <w:p>
      <w:pPr>
        <w:pStyle w:val="Heading1"/>
        <w:spacing w:after="140" w:before="320"/>
      </w:pPr>
      <w:r>
        <w:rPr>
          <w:rFonts w:ascii="Times New Roman" w:cs="Times New Roman" w:eastAsia="Times New Roman" w:hAnsi="Times New Roman"/>
          <w:b/>
          <w:bCs/>
          <w:sz w:val="24"/>
          <w:szCs w:val="24"/>
        </w:rPr>
        <w:t xml:space="preserve">9.  What I Took Away From It</w:t>
      </w:r>
    </w:p>
    <w:p>
      <w:pPr>
        <w:spacing w:after="0" w:line="282"/>
        <w:jc w:val="both"/>
      </w:pPr>
      <w:r>
        <w:rPr>
          <w:rFonts w:ascii="Times New Roman" w:cs="Times New Roman" w:eastAsia="Times New Roman" w:hAnsi="Times New Roman"/>
          <w:sz w:val="22"/>
          <w:szCs w:val="22"/>
        </w:rPr>
        <w:t xml:space="preserve">The hardest part of this project honestly wasn’t the code itself, the specific tools were all things I could pick up as I needed them. The hard part was resisting the urge to make the model look smarter than it actually is. It would have been easy to add the fanciest-sounding feature first because it sounds impressive, or to calculate expected value the simpler, wrong way because it’s less work. Reading the real research first, and paying attention to where different public trading resources agreed with each other and where they didn’t, gave me a much better sense of which shortcuts were safe to take and which ones would quietly make the results wrong. Building in that honesty from the start, rather than bolting it on later, is the habit I’d want to carry into any future project, whether it involves markets or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66666"/>
        <w:sz w:val="18"/>
        <w:szCs w:val="18"/>
      </w:rPr>
      <w:t xml:space="preserve">Building a Volatility-Aware Options Screener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2026-07-30T21:45:50.031Z</dcterms:created>
  <dcterms:modified xsi:type="dcterms:W3CDTF">2026-07-30T21:45:50.048Z</dcterms:modified>
</cp:coreProperties>
</file>

<file path=docProps/custom.xml><?xml version="1.0" encoding="utf-8"?>
<Properties xmlns="http://schemas.openxmlformats.org/officeDocument/2006/custom-properties" xmlns:vt="http://schemas.openxmlformats.org/officeDocument/2006/docPropsVTypes"/>
</file>