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0D43" w:rsidRDefault="001F0D43" w:rsidP="001F0D43"/>
    <w:p w:rsidR="001F0D43" w:rsidRPr="00DB6818" w:rsidRDefault="001F0D43" w:rsidP="001F0D43">
      <w:pPr>
        <w:pStyle w:val="Prrafodelista"/>
        <w:numPr>
          <w:ilvl w:val="0"/>
          <w:numId w:val="1"/>
        </w:numPr>
        <w:rPr>
          <w:b/>
          <w:highlight w:val="yellow"/>
        </w:rPr>
      </w:pPr>
      <w:r w:rsidRPr="00DB6818">
        <w:rPr>
          <w:b/>
          <w:highlight w:val="yellow"/>
        </w:rPr>
        <w:t xml:space="preserve">Sr YANQUI </w:t>
      </w:r>
    </w:p>
    <w:p w:rsidR="001F0D43" w:rsidRDefault="001F0D43" w:rsidP="001F0D43">
      <w:r>
        <w:t>Se cambiara el titulo como  indica la asesora.</w:t>
      </w:r>
    </w:p>
    <w:p w:rsidR="001F0D43" w:rsidRDefault="001F0D43" w:rsidP="001F0D43">
      <w:r>
        <w:t>Las tesis de pregrado, no son propositivos, porque ese es otro trabajo. Su tesis es descriptivo, no propositiva.</w:t>
      </w:r>
    </w:p>
    <w:p w:rsidR="001F0D43" w:rsidRDefault="001F0D43" w:rsidP="001F0D43"/>
    <w:p w:rsidR="001F0D43" w:rsidRPr="00D01426" w:rsidRDefault="001F0D43" w:rsidP="001F0D43">
      <w:pPr>
        <w:rPr>
          <w:b/>
          <w:sz w:val="24"/>
          <w:szCs w:val="24"/>
        </w:rPr>
      </w:pPr>
      <w:r w:rsidRPr="00D01426">
        <w:rPr>
          <w:b/>
          <w:sz w:val="24"/>
          <w:szCs w:val="24"/>
        </w:rPr>
        <w:t>PROPUESTA:</w:t>
      </w:r>
    </w:p>
    <w:p w:rsidR="001F0D43" w:rsidRPr="00D01426" w:rsidRDefault="001F0D43" w:rsidP="001F0D43">
      <w:pPr>
        <w:ind w:left="851" w:hanging="851"/>
        <w:jc w:val="both"/>
        <w:rPr>
          <w:b/>
          <w:sz w:val="24"/>
          <w:szCs w:val="24"/>
        </w:rPr>
      </w:pPr>
      <w:r w:rsidRPr="00D01426">
        <w:rPr>
          <w:b/>
          <w:sz w:val="24"/>
          <w:szCs w:val="24"/>
        </w:rPr>
        <w:t>TITULO: Reconocimiento jurídico de las familias ensambladas en el marco normativo del Código Civil del Perú.</w:t>
      </w:r>
    </w:p>
    <w:p w:rsidR="001F0D43" w:rsidRDefault="001F0D43" w:rsidP="001F0D43">
      <w:pPr>
        <w:jc w:val="both"/>
        <w:rPr>
          <w:b/>
          <w:sz w:val="24"/>
          <w:szCs w:val="24"/>
        </w:rPr>
      </w:pPr>
    </w:p>
    <w:p w:rsidR="001F0D43" w:rsidRPr="00D01426" w:rsidRDefault="001F0D43" w:rsidP="001F0D43">
      <w:pPr>
        <w:jc w:val="both"/>
        <w:rPr>
          <w:b/>
          <w:sz w:val="24"/>
          <w:szCs w:val="24"/>
        </w:rPr>
      </w:pPr>
      <w:r w:rsidRPr="00D01426">
        <w:rPr>
          <w:b/>
          <w:sz w:val="24"/>
          <w:szCs w:val="24"/>
        </w:rPr>
        <w:t>Objetivo general:</w:t>
      </w:r>
    </w:p>
    <w:p w:rsidR="001F0D43" w:rsidRPr="00D01426" w:rsidRDefault="001F0D43" w:rsidP="001F0D43">
      <w:pPr>
        <w:jc w:val="both"/>
        <w:rPr>
          <w:sz w:val="24"/>
          <w:szCs w:val="24"/>
        </w:rPr>
      </w:pPr>
      <w:r w:rsidRPr="00D01426">
        <w:rPr>
          <w:sz w:val="24"/>
          <w:szCs w:val="24"/>
        </w:rPr>
        <w:t>Analizar de qué forma el marco normativo actual del Código Civil</w:t>
      </w:r>
      <w:r>
        <w:rPr>
          <w:sz w:val="24"/>
          <w:szCs w:val="24"/>
        </w:rPr>
        <w:t>,</w:t>
      </w:r>
      <w:r w:rsidRPr="00D01426">
        <w:rPr>
          <w:sz w:val="24"/>
          <w:szCs w:val="24"/>
        </w:rPr>
        <w:t xml:space="preserve"> aborda y protege a las familias ensam</w:t>
      </w:r>
      <w:r>
        <w:rPr>
          <w:sz w:val="24"/>
          <w:szCs w:val="24"/>
        </w:rPr>
        <w:t xml:space="preserve">bladas en el Perú. </w:t>
      </w:r>
    </w:p>
    <w:p w:rsidR="001F0D43" w:rsidRPr="00D01426" w:rsidRDefault="001F0D43" w:rsidP="001F0D43">
      <w:pPr>
        <w:jc w:val="both"/>
        <w:rPr>
          <w:b/>
          <w:sz w:val="24"/>
          <w:szCs w:val="24"/>
        </w:rPr>
      </w:pPr>
      <w:r w:rsidRPr="00D01426">
        <w:rPr>
          <w:b/>
          <w:sz w:val="24"/>
          <w:szCs w:val="24"/>
        </w:rPr>
        <w:t xml:space="preserve">Objetivos específicos: </w:t>
      </w:r>
    </w:p>
    <w:p w:rsidR="001F0D43" w:rsidRPr="00D01426" w:rsidRDefault="001F0D43" w:rsidP="001F0D43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 w:rsidRPr="00D01426">
        <w:rPr>
          <w:sz w:val="24"/>
          <w:szCs w:val="24"/>
        </w:rPr>
        <w:t xml:space="preserve">Examinar el marco civil peruano aplicable a la familia, </w:t>
      </w:r>
      <w:r>
        <w:rPr>
          <w:sz w:val="24"/>
          <w:szCs w:val="24"/>
        </w:rPr>
        <w:t xml:space="preserve">determinando </w:t>
      </w:r>
      <w:r w:rsidRPr="00D01426">
        <w:rPr>
          <w:sz w:val="24"/>
          <w:szCs w:val="24"/>
        </w:rPr>
        <w:t>los vacíos legales existentes</w:t>
      </w:r>
      <w:r>
        <w:rPr>
          <w:sz w:val="24"/>
          <w:szCs w:val="24"/>
        </w:rPr>
        <w:t>.</w:t>
      </w:r>
    </w:p>
    <w:p w:rsidR="001F0D43" w:rsidRPr="00D01426" w:rsidRDefault="001F0D43" w:rsidP="001F0D43">
      <w:pPr>
        <w:pStyle w:val="Prrafodelista"/>
        <w:numPr>
          <w:ilvl w:val="0"/>
          <w:numId w:val="2"/>
        </w:numPr>
        <w:jc w:val="both"/>
        <w:rPr>
          <w:sz w:val="24"/>
          <w:szCs w:val="24"/>
        </w:rPr>
      </w:pPr>
      <w:r w:rsidRPr="00D01426">
        <w:rPr>
          <w:sz w:val="24"/>
          <w:szCs w:val="24"/>
        </w:rPr>
        <w:t>Describir las sentencias del Tribunal Constitucional que han abordado el reconocimiento de las familias ensambladas a nivel nacional.</w:t>
      </w:r>
    </w:p>
    <w:p w:rsidR="001F0D43" w:rsidRDefault="001F0D43" w:rsidP="001F0D43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1F0D43" w:rsidTr="004843D5">
        <w:tc>
          <w:tcPr>
            <w:tcW w:w="8828" w:type="dxa"/>
          </w:tcPr>
          <w:p w:rsidR="001F0D43" w:rsidRPr="00A0637C" w:rsidRDefault="001F0D43" w:rsidP="004843D5">
            <w:pPr>
              <w:shd w:val="clear" w:color="auto" w:fill="FFFFFF"/>
              <w:spacing w:after="150"/>
              <w:rPr>
                <w:rFonts w:eastAsia="Times New Roman" w:cs="Arial"/>
                <w:sz w:val="20"/>
                <w:szCs w:val="20"/>
                <w:lang w:eastAsia="es-PE"/>
              </w:rPr>
            </w:pPr>
            <w:r w:rsidRPr="00A0637C">
              <w:rPr>
                <w:rFonts w:eastAsia="Times New Roman" w:cs="Arial"/>
                <w:sz w:val="20"/>
                <w:szCs w:val="20"/>
                <w:lang w:eastAsia="es-PE"/>
              </w:rPr>
              <w:t>Justificación de la necesidad de reforma</w:t>
            </w:r>
          </w:p>
          <w:p w:rsidR="001F0D43" w:rsidRPr="00A0637C" w:rsidRDefault="001F0D43" w:rsidP="004843D5">
            <w:pPr>
              <w:numPr>
                <w:ilvl w:val="0"/>
                <w:numId w:val="3"/>
              </w:numPr>
              <w:shd w:val="clear" w:color="auto" w:fill="FFFFFF"/>
              <w:spacing w:after="120"/>
              <w:ind w:left="0"/>
              <w:rPr>
                <w:rFonts w:eastAsia="Times New Roman" w:cs="Arial"/>
                <w:sz w:val="20"/>
                <w:szCs w:val="20"/>
                <w:lang w:eastAsia="es-PE"/>
              </w:rPr>
            </w:pPr>
            <w:r w:rsidRPr="00A0637C">
              <w:rPr>
                <w:rFonts w:eastAsia="Times New Roman" w:cs="Arial"/>
                <w:b/>
                <w:bCs/>
                <w:sz w:val="20"/>
                <w:szCs w:val="20"/>
                <w:lang w:eastAsia="es-PE"/>
              </w:rPr>
              <w:t>Vacío legal actual:</w:t>
            </w:r>
            <w:r w:rsidRPr="00A0637C">
              <w:rPr>
                <w:rFonts w:eastAsia="Times New Roman" w:cs="Arial"/>
                <w:sz w:val="20"/>
                <w:szCs w:val="20"/>
                <w:lang w:eastAsia="es-PE"/>
              </w:rPr>
              <w:t> </w:t>
            </w:r>
          </w:p>
          <w:p w:rsidR="001F0D43" w:rsidRPr="00A0637C" w:rsidRDefault="001F0D43" w:rsidP="004843D5">
            <w:pPr>
              <w:shd w:val="clear" w:color="auto" w:fill="FFFFFF"/>
              <w:spacing w:after="120"/>
              <w:rPr>
                <w:rFonts w:eastAsia="Times New Roman" w:cs="Times New Roman"/>
                <w:spacing w:val="2"/>
                <w:sz w:val="20"/>
                <w:szCs w:val="20"/>
                <w:lang w:eastAsia="es-PE"/>
              </w:rPr>
            </w:pPr>
            <w:r w:rsidRPr="00A0637C">
              <w:rPr>
                <w:rFonts w:eastAsia="Times New Roman" w:cs="Arial"/>
                <w:spacing w:val="2"/>
                <w:sz w:val="20"/>
                <w:szCs w:val="20"/>
                <w:lang w:eastAsia="es-PE"/>
              </w:rPr>
              <w:t>El Código Civil peruano de 1984, al no contemplar la diversidad familiar actual, no reconoce a los hijos afines (hijastros) como herederos forzosos ni aborda explícitamente la relación de los padres afines. </w:t>
            </w:r>
          </w:p>
          <w:p w:rsidR="001F0D43" w:rsidRPr="00A0637C" w:rsidRDefault="001F0D43" w:rsidP="004843D5">
            <w:pPr>
              <w:numPr>
                <w:ilvl w:val="0"/>
                <w:numId w:val="3"/>
              </w:numPr>
              <w:shd w:val="clear" w:color="auto" w:fill="FFFFFF"/>
              <w:spacing w:after="120"/>
              <w:ind w:left="0"/>
              <w:rPr>
                <w:rFonts w:eastAsia="Times New Roman" w:cs="Times New Roman"/>
                <w:sz w:val="20"/>
                <w:szCs w:val="20"/>
                <w:lang w:eastAsia="es-PE"/>
              </w:rPr>
            </w:pPr>
            <w:r w:rsidRPr="00A0637C">
              <w:rPr>
                <w:rFonts w:eastAsia="Times New Roman" w:cs="Arial"/>
                <w:b/>
                <w:bCs/>
                <w:sz w:val="20"/>
                <w:szCs w:val="20"/>
                <w:lang w:eastAsia="es-PE"/>
              </w:rPr>
              <w:t>Reconocimiento social y judicial:</w:t>
            </w:r>
            <w:r w:rsidRPr="00A0637C">
              <w:rPr>
                <w:rFonts w:eastAsia="Times New Roman" w:cs="Arial"/>
                <w:sz w:val="20"/>
                <w:szCs w:val="20"/>
                <w:lang w:eastAsia="es-PE"/>
              </w:rPr>
              <w:t> </w:t>
            </w:r>
          </w:p>
          <w:p w:rsidR="001F0D43" w:rsidRPr="00A0637C" w:rsidRDefault="001F0D43" w:rsidP="004843D5">
            <w:pPr>
              <w:shd w:val="clear" w:color="auto" w:fill="FFFFFF"/>
              <w:spacing w:after="120"/>
              <w:rPr>
                <w:rFonts w:eastAsia="Times New Roman" w:cs="Times New Roman"/>
                <w:spacing w:val="2"/>
                <w:sz w:val="20"/>
                <w:szCs w:val="20"/>
                <w:lang w:eastAsia="es-PE"/>
              </w:rPr>
            </w:pPr>
            <w:r w:rsidRPr="00A0637C">
              <w:rPr>
                <w:rFonts w:eastAsia="Times New Roman" w:cs="Arial"/>
                <w:spacing w:val="2"/>
                <w:sz w:val="20"/>
                <w:szCs w:val="20"/>
                <w:lang w:eastAsia="es-PE"/>
              </w:rPr>
              <w:t>El Tribunal Constitucional ha reconocido la existencia de las familias ensambladas o reconstituidas, justificando la necesidad de una reforma legal para proteger a este núcleo familiar. </w:t>
            </w:r>
          </w:p>
          <w:p w:rsidR="001F0D43" w:rsidRPr="00A0637C" w:rsidRDefault="001F0D43" w:rsidP="004843D5">
            <w:pPr>
              <w:numPr>
                <w:ilvl w:val="0"/>
                <w:numId w:val="3"/>
              </w:numPr>
              <w:shd w:val="clear" w:color="auto" w:fill="FFFFFF"/>
              <w:ind w:left="0"/>
              <w:rPr>
                <w:rFonts w:eastAsia="Times New Roman" w:cs="Times New Roman"/>
                <w:sz w:val="20"/>
                <w:szCs w:val="20"/>
                <w:lang w:eastAsia="es-PE"/>
              </w:rPr>
            </w:pPr>
            <w:r w:rsidRPr="00A0637C">
              <w:rPr>
                <w:rFonts w:eastAsia="Times New Roman" w:cs="Arial"/>
                <w:b/>
                <w:bCs/>
                <w:sz w:val="20"/>
                <w:szCs w:val="20"/>
                <w:lang w:eastAsia="es-PE"/>
              </w:rPr>
              <w:t>Evolución social:</w:t>
            </w:r>
            <w:r w:rsidRPr="00A0637C">
              <w:rPr>
                <w:rFonts w:eastAsia="Times New Roman" w:cs="Arial"/>
                <w:sz w:val="20"/>
                <w:szCs w:val="20"/>
                <w:lang w:eastAsia="es-PE"/>
              </w:rPr>
              <w:t> </w:t>
            </w:r>
          </w:p>
          <w:p w:rsidR="001F0D43" w:rsidRPr="00A0637C" w:rsidRDefault="001F0D43" w:rsidP="004843D5">
            <w:pPr>
              <w:shd w:val="clear" w:color="auto" w:fill="FFFFFF"/>
              <w:rPr>
                <w:rFonts w:eastAsia="Times New Roman" w:cs="Times New Roman"/>
                <w:spacing w:val="2"/>
                <w:sz w:val="20"/>
                <w:szCs w:val="20"/>
                <w:lang w:eastAsia="es-PE"/>
              </w:rPr>
            </w:pPr>
            <w:r w:rsidRPr="00A0637C">
              <w:rPr>
                <w:rFonts w:eastAsia="Times New Roman" w:cs="Arial"/>
                <w:spacing w:val="2"/>
                <w:sz w:val="20"/>
                <w:szCs w:val="20"/>
                <w:lang w:eastAsia="es-PE"/>
              </w:rPr>
              <w:t>Los cambios en la estructura familiar, con la aparición de familias monoparentales y ensambladas, hacen necesaria una legislación que responda a esta nueva realidad. </w:t>
            </w:r>
          </w:p>
          <w:p w:rsidR="001F0D43" w:rsidRPr="00A0637C" w:rsidRDefault="001F0D43" w:rsidP="004843D5">
            <w:pPr>
              <w:shd w:val="clear" w:color="auto" w:fill="FFFFFF"/>
              <w:spacing w:after="150"/>
              <w:rPr>
                <w:rFonts w:eastAsia="Times New Roman" w:cs="Times New Roman"/>
                <w:sz w:val="20"/>
                <w:szCs w:val="20"/>
                <w:lang w:eastAsia="es-PE"/>
              </w:rPr>
            </w:pPr>
            <w:r w:rsidRPr="00A0637C">
              <w:rPr>
                <w:rFonts w:eastAsia="Times New Roman" w:cs="Arial"/>
                <w:sz w:val="20"/>
                <w:szCs w:val="20"/>
                <w:lang w:eastAsia="es-PE"/>
              </w:rPr>
              <w:t>Principales aspectos de la reforma propuesta</w:t>
            </w:r>
          </w:p>
          <w:p w:rsidR="001F0D43" w:rsidRPr="00A0637C" w:rsidRDefault="001F0D43" w:rsidP="004843D5">
            <w:pPr>
              <w:numPr>
                <w:ilvl w:val="0"/>
                <w:numId w:val="4"/>
              </w:numPr>
              <w:shd w:val="clear" w:color="auto" w:fill="FFFFFF"/>
              <w:spacing w:after="120"/>
              <w:ind w:left="0"/>
              <w:rPr>
                <w:rFonts w:eastAsia="Times New Roman" w:cs="Arial"/>
                <w:sz w:val="20"/>
                <w:szCs w:val="20"/>
                <w:lang w:eastAsia="es-PE"/>
              </w:rPr>
            </w:pPr>
            <w:r w:rsidRPr="00A0637C">
              <w:rPr>
                <w:rFonts w:eastAsia="Times New Roman" w:cs="Arial"/>
                <w:b/>
                <w:bCs/>
                <w:sz w:val="20"/>
                <w:szCs w:val="20"/>
                <w:lang w:eastAsia="es-PE"/>
              </w:rPr>
              <w:t>Responsabilidad parental y patria potestad:</w:t>
            </w:r>
            <w:r w:rsidRPr="00A0637C">
              <w:rPr>
                <w:rFonts w:eastAsia="Times New Roman" w:cs="Arial"/>
                <w:sz w:val="20"/>
                <w:szCs w:val="20"/>
                <w:lang w:eastAsia="es-PE"/>
              </w:rPr>
              <w:t> </w:t>
            </w:r>
          </w:p>
          <w:p w:rsidR="001F0D43" w:rsidRPr="00A0637C" w:rsidRDefault="001F0D43" w:rsidP="004843D5">
            <w:pPr>
              <w:shd w:val="clear" w:color="auto" w:fill="FFFFFF"/>
              <w:spacing w:after="120"/>
              <w:rPr>
                <w:rFonts w:eastAsia="Times New Roman" w:cs="Times New Roman"/>
                <w:spacing w:val="2"/>
                <w:sz w:val="20"/>
                <w:szCs w:val="20"/>
                <w:lang w:eastAsia="es-PE"/>
              </w:rPr>
            </w:pPr>
            <w:r w:rsidRPr="00A0637C">
              <w:rPr>
                <w:rFonts w:eastAsia="Times New Roman" w:cs="Arial"/>
                <w:spacing w:val="2"/>
                <w:sz w:val="20"/>
                <w:szCs w:val="20"/>
                <w:lang w:eastAsia="es-PE"/>
              </w:rPr>
              <w:t>Se busca otorgar a los progenitores afines la posibilidad de ejercer funciones de cuidado y atención a sus hijastros, complementando las responsabilidades de los progenitores biológicos o afines, siempre en beneficio del menor. </w:t>
            </w:r>
          </w:p>
          <w:p w:rsidR="001F0D43" w:rsidRPr="00A0637C" w:rsidRDefault="001F0D43" w:rsidP="004843D5">
            <w:pPr>
              <w:numPr>
                <w:ilvl w:val="0"/>
                <w:numId w:val="4"/>
              </w:numPr>
              <w:shd w:val="clear" w:color="auto" w:fill="FFFFFF"/>
              <w:spacing w:after="120"/>
              <w:ind w:left="0"/>
              <w:rPr>
                <w:rFonts w:eastAsia="Times New Roman" w:cs="Times New Roman"/>
                <w:sz w:val="20"/>
                <w:szCs w:val="20"/>
                <w:lang w:eastAsia="es-PE"/>
              </w:rPr>
            </w:pPr>
            <w:r w:rsidRPr="00A0637C">
              <w:rPr>
                <w:rFonts w:eastAsia="Times New Roman" w:cs="Arial"/>
                <w:b/>
                <w:bCs/>
                <w:sz w:val="20"/>
                <w:szCs w:val="20"/>
                <w:lang w:eastAsia="es-PE"/>
              </w:rPr>
              <w:lastRenderedPageBreak/>
              <w:t>Derecho sucesorio:</w:t>
            </w:r>
            <w:r w:rsidRPr="00A0637C">
              <w:rPr>
                <w:rFonts w:eastAsia="Times New Roman" w:cs="Arial"/>
                <w:sz w:val="20"/>
                <w:szCs w:val="20"/>
                <w:lang w:eastAsia="es-PE"/>
              </w:rPr>
              <w:t> </w:t>
            </w:r>
          </w:p>
          <w:p w:rsidR="001F0D43" w:rsidRPr="00A0637C" w:rsidRDefault="001F0D43" w:rsidP="004843D5">
            <w:pPr>
              <w:shd w:val="clear" w:color="auto" w:fill="FFFFFF"/>
              <w:spacing w:after="120"/>
              <w:rPr>
                <w:rFonts w:eastAsia="Times New Roman" w:cs="Times New Roman"/>
                <w:spacing w:val="2"/>
                <w:sz w:val="20"/>
                <w:szCs w:val="20"/>
                <w:lang w:eastAsia="es-PE"/>
              </w:rPr>
            </w:pPr>
            <w:r w:rsidRPr="00A0637C">
              <w:rPr>
                <w:rFonts w:eastAsia="Times New Roman" w:cs="Arial"/>
                <w:spacing w:val="2"/>
                <w:sz w:val="20"/>
                <w:szCs w:val="20"/>
                <w:lang w:eastAsia="es-PE"/>
              </w:rPr>
              <w:t>Se propone incluir a los hijos afines en la figura de herederos forzosos, equiparando sus derechos hereditarios con los de los hijos biológicos. </w:t>
            </w:r>
          </w:p>
          <w:p w:rsidR="001F0D43" w:rsidRPr="00A0637C" w:rsidRDefault="001F0D43" w:rsidP="004843D5">
            <w:pPr>
              <w:numPr>
                <w:ilvl w:val="0"/>
                <w:numId w:val="4"/>
              </w:numPr>
              <w:shd w:val="clear" w:color="auto" w:fill="FFFFFF"/>
              <w:spacing w:after="120"/>
              <w:ind w:left="0"/>
              <w:rPr>
                <w:rFonts w:eastAsia="Times New Roman" w:cs="Times New Roman"/>
                <w:sz w:val="20"/>
                <w:szCs w:val="20"/>
                <w:lang w:eastAsia="es-PE"/>
              </w:rPr>
            </w:pPr>
            <w:r w:rsidRPr="00A0637C">
              <w:rPr>
                <w:rFonts w:eastAsia="Times New Roman" w:cs="Arial"/>
                <w:b/>
                <w:bCs/>
                <w:sz w:val="20"/>
                <w:szCs w:val="20"/>
                <w:lang w:eastAsia="es-PE"/>
              </w:rPr>
              <w:t>Regulación de la autoridad parental:</w:t>
            </w:r>
            <w:r w:rsidRPr="00A0637C">
              <w:rPr>
                <w:rFonts w:eastAsia="Times New Roman" w:cs="Arial"/>
                <w:sz w:val="20"/>
                <w:szCs w:val="20"/>
                <w:lang w:eastAsia="es-PE"/>
              </w:rPr>
              <w:t> </w:t>
            </w:r>
          </w:p>
          <w:p w:rsidR="001F0D43" w:rsidRPr="00A0637C" w:rsidRDefault="001F0D43" w:rsidP="004843D5">
            <w:pPr>
              <w:shd w:val="clear" w:color="auto" w:fill="FFFFFF"/>
              <w:spacing w:after="120"/>
              <w:rPr>
                <w:rFonts w:eastAsia="Times New Roman" w:cs="Times New Roman"/>
                <w:spacing w:val="2"/>
                <w:sz w:val="20"/>
                <w:szCs w:val="20"/>
                <w:lang w:eastAsia="es-PE"/>
              </w:rPr>
            </w:pPr>
            <w:r w:rsidRPr="00A0637C">
              <w:rPr>
                <w:rFonts w:eastAsia="Times New Roman" w:cs="Arial"/>
                <w:spacing w:val="2"/>
                <w:sz w:val="20"/>
                <w:szCs w:val="20"/>
                <w:lang w:eastAsia="es-PE"/>
              </w:rPr>
              <w:t>Se busca establecer criterios claros para la participación del progenitor afín en la vida del niño o adolescente, reconociendo la importancia de una relación estable y permanente, como lo sugiere la jurisprudencia del Tribunal Constitucional. </w:t>
            </w:r>
          </w:p>
          <w:p w:rsidR="001F0D43" w:rsidRPr="00A0637C" w:rsidRDefault="001F0D43" w:rsidP="004843D5">
            <w:pPr>
              <w:numPr>
                <w:ilvl w:val="0"/>
                <w:numId w:val="4"/>
              </w:numPr>
              <w:shd w:val="clear" w:color="auto" w:fill="FFFFFF"/>
              <w:ind w:left="0"/>
              <w:rPr>
                <w:rFonts w:eastAsia="Times New Roman" w:cs="Times New Roman"/>
                <w:sz w:val="20"/>
                <w:szCs w:val="20"/>
                <w:lang w:eastAsia="es-PE"/>
              </w:rPr>
            </w:pPr>
            <w:r w:rsidRPr="00A0637C">
              <w:rPr>
                <w:rFonts w:eastAsia="Times New Roman" w:cs="Arial"/>
                <w:b/>
                <w:bCs/>
                <w:sz w:val="20"/>
                <w:szCs w:val="20"/>
                <w:lang w:eastAsia="es-PE"/>
              </w:rPr>
              <w:t>Marco legal inspirador:</w:t>
            </w:r>
            <w:r w:rsidRPr="00A0637C">
              <w:rPr>
                <w:rFonts w:eastAsia="Times New Roman" w:cs="Arial"/>
                <w:sz w:val="20"/>
                <w:szCs w:val="20"/>
                <w:lang w:eastAsia="es-PE"/>
              </w:rPr>
              <w:t> </w:t>
            </w:r>
          </w:p>
          <w:p w:rsidR="001F0D43" w:rsidRPr="00A0637C" w:rsidRDefault="001F0D43" w:rsidP="004843D5">
            <w:pPr>
              <w:shd w:val="clear" w:color="auto" w:fill="FFFFFF"/>
              <w:rPr>
                <w:rFonts w:eastAsia="Times New Roman" w:cs="Arial"/>
                <w:spacing w:val="2"/>
                <w:sz w:val="20"/>
                <w:szCs w:val="20"/>
                <w:lang w:eastAsia="es-PE"/>
              </w:rPr>
            </w:pPr>
            <w:r w:rsidRPr="00A0637C">
              <w:rPr>
                <w:rFonts w:eastAsia="Times New Roman" w:cs="Arial"/>
                <w:spacing w:val="2"/>
                <w:sz w:val="20"/>
                <w:szCs w:val="20"/>
                <w:lang w:eastAsia="es-PE"/>
              </w:rPr>
              <w:t>Se toma como ejemplo la legislación argentina, que en su Código Civil y Comercial regula los derechos y deberes de los progenitores e hijos afines dentro del ámbito de la responsabilidad parental y el sistema de sucesiones. </w:t>
            </w:r>
          </w:p>
          <w:p w:rsidR="001F0D43" w:rsidRDefault="001F0D43" w:rsidP="004843D5"/>
        </w:tc>
      </w:tr>
    </w:tbl>
    <w:p w:rsidR="001F0D43" w:rsidRDefault="001F0D43" w:rsidP="001F0D43"/>
    <w:p w:rsidR="001F0D43" w:rsidRDefault="001F0D43" w:rsidP="001F0D43"/>
    <w:p w:rsidR="00284B1C" w:rsidRDefault="00284B1C">
      <w:bookmarkStart w:id="0" w:name="_GoBack"/>
      <w:bookmarkEnd w:id="0"/>
    </w:p>
    <w:sectPr w:rsidR="00284B1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BC4E3D"/>
    <w:multiLevelType w:val="multilevel"/>
    <w:tmpl w:val="9BCED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1014B23"/>
    <w:multiLevelType w:val="hybridMultilevel"/>
    <w:tmpl w:val="AD38E156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14D2159"/>
    <w:multiLevelType w:val="multilevel"/>
    <w:tmpl w:val="1038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6910635B"/>
    <w:multiLevelType w:val="hybridMultilevel"/>
    <w:tmpl w:val="BC50D73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0D43"/>
    <w:rsid w:val="001F0D43"/>
    <w:rsid w:val="00284B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037B4D8-C702-46CE-A9FA-11BDA256C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F0D4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F0D43"/>
    <w:pPr>
      <w:ind w:left="720"/>
      <w:contextualSpacing/>
    </w:pPr>
  </w:style>
  <w:style w:type="table" w:styleId="Tablaconcuadrcula">
    <w:name w:val="Table Grid"/>
    <w:basedOn w:val="Tablanormal"/>
    <w:uiPriority w:val="39"/>
    <w:rsid w:val="001F0D4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368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2025-10-08T00:31:00Z</dcterms:created>
  <dcterms:modified xsi:type="dcterms:W3CDTF">2025-10-08T00:34:00Z</dcterms:modified>
</cp:coreProperties>
</file>