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sz w:val="28"/>
          <w:szCs w:val="28"/>
        </w:rPr>
        <w:t xml:space="preserve">BCSE306 — ARTIFICIAL INTELLIGENCE</w:t>
      </w:r>
    </w:p>
    <w:p>
      <w:pPr>
        <w:spacing w:after="400"/>
        <w:jc w:val="center"/>
      </w:pPr>
      <w:r>
        <w:rPr>
          <w:rFonts w:ascii="Times New Roman" w:cs="Times New Roman" w:eastAsia="Times New Roman" w:hAnsi="Times New Roman"/>
          <w:sz w:val="24"/>
          <w:szCs w:val="24"/>
        </w:rPr>
        <w:t xml:space="preserve">Final Project Review Report</w:t>
      </w:r>
    </w:p>
    <w:p>
      <w:pPr>
        <w:spacing w:after="120" w:before="200"/>
        <w:jc w:val="center"/>
      </w:pPr>
      <w:r>
        <w:rPr>
          <w:rFonts w:ascii="Times New Roman" w:cs="Times New Roman" w:eastAsia="Times New Roman" w:hAnsi="Times New Roman"/>
          <w:b/>
          <w:bCs/>
          <w:color w:val="1F3864"/>
          <w:sz w:val="36"/>
          <w:szCs w:val="36"/>
        </w:rPr>
        <w:t xml:space="preserve">Neuro-Symbolic Automated Essay and Answer Grading with Rule-Based Justification</w:t>
      </w:r>
    </w:p>
    <w:p>
      <w:pPr>
        <w:spacing w:after="300"/>
        <w:jc w:val="center"/>
      </w:pPr>
      <w:r>
        <w:rPr>
          <w:rFonts w:ascii="Times New Roman" w:cs="Times New Roman" w:eastAsia="Times New Roman" w:hAnsi="Times New Roman"/>
          <w:i/>
          <w:iCs/>
          <w:sz w:val="24"/>
          <w:szCs w:val="24"/>
        </w:rPr>
        <w:t xml:space="preserve">A Fuzzy-Logic Framework that Replaces the Black-Box Combiner of a Three-Module NLP Grader with an Auditable Rule Base</w:t>
      </w:r>
    </w:p>
    <w:p>
      <w:pPr>
        <w:spacing w:after="100"/>
        <w:jc w:val="center"/>
      </w:pPr>
      <w:r>
        <w:rPr>
          <w:rFonts w:ascii="Times New Roman" w:cs="Times New Roman" w:eastAsia="Times New Roman" w:hAnsi="Times New Roman"/>
          <w:b/>
          <w:bCs/>
          <w:sz w:val="22"/>
          <w:szCs w:val="22"/>
        </w:rPr>
        <w:t xml:space="preserve">Primary Track: E — Neuro-Symbolic, Fuzzy and Neutrosophic Reasoning    |    Secondary Track: F — Applied AI Systems</w:t>
      </w:r>
    </w:p>
    <w:p>
      <w:pPr>
        <w:spacing w:after="240"/>
        <w:jc w:val="center"/>
      </w:pPr>
      <w:r>
        <w:rPr>
          <w:rFonts w:ascii="Times New Roman" w:cs="Times New Roman" w:eastAsia="Times New Roman" w:hAnsi="Times New Roman"/>
          <w:b/>
          <w:bCs/>
          <w:sz w:val="22"/>
          <w:szCs w:val="22"/>
        </w:rPr>
        <w:t xml:space="preserve">Team No.: 35</w:t>
      </w:r>
    </w:p>
    <w:p>
      <w:pPr>
        <w:spacing w:after="80"/>
        <w:jc w:val="center"/>
      </w:pPr>
      <w:r>
        <w:rPr>
          <w:rFonts w:ascii="Times New Roman" w:cs="Times New Roman" w:eastAsia="Times New Roman" w:hAnsi="Times New Roman"/>
          <w:b/>
          <w:bCs/>
          <w:sz w:val="22"/>
          <w:szCs w:val="22"/>
        </w:rPr>
        <w:t xml:space="preserve">Team Members (maximum three)</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1900"/>
        <w:gridCol w:w="2800"/>
        <w:gridCol w:w="4326"/>
      </w:tblGrid>
      <w:tr>
        <w:trPr>
          <w:tblHeader/>
        </w:trPr>
        <w:tc>
          <w:tcPr>
            <w:tcW w:type="dxa" w:w="1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20"/>
                <w:szCs w:val="20"/>
              </w:rPr>
              <w:t xml:space="preserve">Reg. No.</w:t>
            </w:r>
          </w:p>
        </w:tc>
        <w:tc>
          <w:tcPr>
            <w:tcW w:type="dxa" w:w="28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20"/>
                <w:szCs w:val="20"/>
              </w:rPr>
              <w:t xml:space="preserve">Name</w:t>
            </w:r>
          </w:p>
        </w:tc>
        <w:tc>
          <w:tcPr>
            <w:tcW w:type="dxa" w:w="43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20"/>
                <w:szCs w:val="20"/>
              </w:rPr>
              <w:t xml:space="preserve">Primary role in the project</w:t>
            </w:r>
          </w:p>
        </w:tc>
      </w:tr>
      <w:tr>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24BDS0256</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Sahil Barnwal</w:t>
            </w:r>
          </w:p>
        </w:tc>
        <w:tc>
          <w:tcPr>
            <w:tcW w:type="dxa" w:w="43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Full system: symbolic &amp; neural modules, fuzzy engine, evaluation, report</w:t>
            </w:r>
          </w:p>
        </w:tc>
      </w:tr>
      <w:tr>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[24XXX0000]</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[Name — if applicable]</w:t>
            </w:r>
          </w:p>
        </w:tc>
        <w:tc>
          <w:tcPr>
            <w:tcW w:type="dxa" w:w="43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[role]</w:t>
            </w:r>
          </w:p>
        </w:tc>
      </w:tr>
      <w:tr>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[24XXX0000]</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[Name — if applicable]</w:t>
            </w:r>
          </w:p>
        </w:tc>
        <w:tc>
          <w:tcPr>
            <w:tcW w:type="dxa" w:w="43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20"/>
                <w:szCs w:val="20"/>
              </w:rPr>
              <w:t xml:space="preserve">[role]</w:t>
            </w:r>
          </w:p>
        </w:tc>
      </w:tr>
    </w:tbl>
    <w:p>
      <w:pPr>
        <w:spacing w:after="80"/>
      </w:pPr>
    </w:p>
    <w:p>
      <w:pPr>
        <w:spacing w:after="40" w:before="160"/>
        <w:jc w:val="center"/>
      </w:pPr>
      <w:r>
        <w:rPr>
          <w:rFonts w:ascii="Times New Roman" w:cs="Times New Roman" w:eastAsia="Times New Roman" w:hAnsi="Times New Roman"/>
          <w:sz w:val="22"/>
          <w:szCs w:val="22"/>
        </w:rPr>
        <w:t xml:space="preserve">Report submitted for the Final Project Review of</w:t>
      </w:r>
    </w:p>
    <w:p>
      <w:pPr>
        <w:spacing w:after="40"/>
        <w:jc w:val="center"/>
      </w:pPr>
      <w:r>
        <w:rPr>
          <w:rFonts w:ascii="Times New Roman" w:cs="Times New Roman" w:eastAsia="Times New Roman" w:hAnsi="Times New Roman"/>
          <w:sz w:val="22"/>
          <w:szCs w:val="22"/>
        </w:rPr>
        <w:t xml:space="preserve">Course Code: BCSE306 — Artificial Intelligence    |    Slot: D1</w:t>
      </w:r>
    </w:p>
    <w:p>
      <w:pPr>
        <w:spacing w:after="40"/>
        <w:jc w:val="center"/>
      </w:pPr>
      <w:r>
        <w:rPr>
          <w:rFonts w:ascii="Times New Roman" w:cs="Times New Roman" w:eastAsia="Times New Roman" w:hAnsi="Times New Roman"/>
          <w:sz w:val="22"/>
          <w:szCs w:val="22"/>
        </w:rPr>
        <w:t xml:space="preserve">Professor: Dr. Ilanthenral Kandasamy</w:t>
      </w:r>
    </w:p>
    <w:p>
      <w:pPr>
        <w:spacing w:after="40"/>
        <w:jc w:val="center"/>
      </w:pPr>
      <w:r>
        <w:rPr>
          <w:rFonts w:ascii="Times New Roman" w:cs="Times New Roman" w:eastAsia="Times New Roman" w:hAnsi="Times New Roman"/>
          <w:b/>
          <w:bCs/>
          <w:color w:val="B00000"/>
          <w:sz w:val="22"/>
          <w:szCs w:val="22"/>
        </w:rPr>
        <w:t xml:space="preserve">GitHub Repository: [INSERT REPOSITORY URL]</w:t>
      </w:r>
    </w:p>
    <w:p>
      <w:pPr>
        <w:spacing w:after="20" w:before="120"/>
        <w:jc w:val="center"/>
      </w:pPr>
      <w:r>
        <w:rPr>
          <w:rFonts w:ascii="Times New Roman" w:cs="Times New Roman" w:eastAsia="Times New Roman" w:hAnsi="Times New Roman"/>
          <w:b/>
          <w:bCs/>
          <w:sz w:val="22"/>
          <w:szCs w:val="22"/>
        </w:rPr>
        <w:t xml:space="preserve">Vellore Institute of Technology, Vellore</w:t>
      </w:r>
    </w:p>
    <w:p>
      <w:pPr>
        <w:jc w:val="center"/>
      </w:pPr>
      <w:r>
        <w:rPr>
          <w:rFonts w:ascii="Times New Roman" w:cs="Times New Roman" w:eastAsia="Times New Roman" w:hAnsi="Times New Roman"/>
          <w:sz w:val="22"/>
          <w:szCs w:val="22"/>
        </w:rPr>
        <w:t xml:space="preserve">Fall Semester 2026–27  |  October 2026</w:t>
      </w:r>
    </w:p>
    <w:p>
      <w:r>
        <w:br w:type="page"/>
      </w:r>
    </w:p>
    <w:p>
      <w:pPr>
        <w:pStyle w:val="Heading1"/>
        <w:keepNext/>
        <w:spacing w:after="140" w:before="280"/>
      </w:pPr>
      <w:bookmarkStart w:name="_Toc1" w:id="1"/>
      <w:r>
        <w:rPr>
          <w:rFonts w:ascii="Times New Roman" w:cs="Times New Roman" w:eastAsia="Times New Roman" w:hAnsi="Times New Roman"/>
          <w:b/>
          <w:bCs/>
          <w:color w:val="1F3864"/>
          <w:sz w:val="32"/>
          <w:szCs w:val="32"/>
        </w:rPr>
        <w:t xml:space="preserve">Declaration and Individual Contribution</w:t>
      </w:r>
      <w:bookmarkEnd w:id="1"/>
    </w:p>
    <w:p>
      <w:pPr>
        <w:spacing w:after="120" w:line="360"/>
        <w:jc w:val="both"/>
      </w:pPr>
      <w:r>
        <w:rPr>
          <w:rFonts w:ascii="Times New Roman" w:cs="Times New Roman" w:eastAsia="Times New Roman" w:hAnsi="Times New Roman"/>
          <w:sz w:val="24"/>
          <w:szCs w:val="24"/>
        </w:rPr>
        <w:t xml:space="preserve">We declare that this report and the accompanying code are our own work, carried out for BCSE306 Artificial Intelligence during Fall Semester 2026–27. All sources, datasets, pre-trained models and AI tools used have been acknowledged. Every reference cited has been personally checked by us. We understand that each of us may be examined individually on any part of this work during the viva.</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1300"/>
        <w:gridCol w:w="1500"/>
        <w:gridCol w:w="2626"/>
        <w:gridCol w:w="1500"/>
        <w:gridCol w:w="1100"/>
        <w:gridCol w:w="1000"/>
      </w:tblGrid>
      <w:tr>
        <w:trPr>
          <w:tblHeader/>
        </w:trPr>
        <w:tc>
          <w:tcPr>
            <w:tcW w:type="dxa" w:w="1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Reg. No.</w:t>
            </w:r>
          </w:p>
        </w:tc>
        <w:tc>
          <w:tcPr>
            <w:tcW w:type="dxa" w:w="15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Name</w:t>
            </w:r>
          </w:p>
        </w:tc>
        <w:tc>
          <w:tcPr>
            <w:tcW w:type="dxa" w:w="26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Modules / components owned</w:t>
            </w:r>
          </w:p>
        </w:tc>
        <w:tc>
          <w:tcPr>
            <w:tcW w:type="dxa" w:w="15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Report sections written</w:t>
            </w:r>
          </w:p>
        </w:tc>
        <w:tc>
          <w:tcPr>
            <w:tcW w:type="dxa" w:w="11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Contribution (%)</w:t>
            </w:r>
          </w:p>
        </w:tc>
        <w:tc>
          <w:tcPr>
            <w:tcW w:type="dxa" w:w="10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Signature</w:t>
            </w:r>
          </w:p>
        </w:tc>
      </w:tr>
      <w:tr>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24BDS0256</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c>
          <w:tcPr>
            <w:tcW w:type="dxa" w:w="26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Symbolic modules (keyword/NER/mechanics), SBERT neural module, Mamdani fuzzy engine, Streamlit UI, evaluation &amp; benchmark scripts</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All (1–12)</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100</w:t>
            </w:r>
          </w:p>
        </w:tc>
        <w:tc>
          <w:tcPr>
            <w:tcW w:type="dxa" w:w="10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r>
      <w:tr>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26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0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r>
      <w:tr>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26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c>
          <w:tcPr>
            <w:tcW w:type="dxa" w:w="10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
            </w:r>
          </w:p>
        </w:tc>
      </w:tr>
    </w:tbl>
    <w:p>
      <w:pPr>
        <w:spacing w:after="120" w:line="360"/>
        <w:jc w:val="both"/>
      </w:pPr>
      <w:r>
        <w:rPr>
          <w:rFonts w:ascii="Times New Roman" w:cs="Times New Roman" w:eastAsia="Times New Roman" w:hAnsi="Times New Roman"/>
          <w:i/>
          <w:iCs/>
          <w:color w:val="B00000"/>
          <w:sz w:val="22"/>
          <w:szCs w:val="22"/>
        </w:rPr>
        <w:t xml:space="preserve">Note: complete the remaining rows if the team has more than one member; contributions must total 100%, each member must sign, and each must be able to defend the whole system in the viva.</w:t>
      </w:r>
    </w:p>
    <w:p>
      <w:r>
        <w:br w:type="page"/>
      </w:r>
    </w:p>
    <w:p>
      <w:pPr>
        <w:pStyle w:val="Heading1"/>
        <w:keepNext/>
        <w:spacing w:after="140" w:before="280"/>
      </w:pPr>
      <w:bookmarkStart w:name="_Toc2" w:id="2"/>
      <w:r>
        <w:rPr>
          <w:rFonts w:ascii="Times New Roman" w:cs="Times New Roman" w:eastAsia="Times New Roman" w:hAnsi="Times New Roman"/>
          <w:b/>
          <w:bCs/>
          <w:color w:val="1F3864"/>
          <w:sz w:val="32"/>
          <w:szCs w:val="32"/>
        </w:rPr>
        <w:t xml:space="preserve">Abstract</w:t>
      </w:r>
      <w:bookmarkEnd w:id="2"/>
    </w:p>
    <w:p>
      <w:pPr>
        <w:spacing w:after="120" w:line="360"/>
        <w:jc w:val="both"/>
      </w:pPr>
      <w:r>
        <w:rPr>
          <w:rFonts w:ascii="Times New Roman" w:cs="Times New Roman" w:eastAsia="Times New Roman" w:hAnsi="Times New Roman"/>
          <w:sz w:val="24"/>
          <w:szCs w:val="24"/>
        </w:rPr>
        <w:t xml:space="preserve">Automated grading of subjective answers has shifted from hand-engineered features to neural models that read an answer and emit a grade in one pass. The work this project extends — Agrawal et al. (Expert Systems with Applications, 2024) — scores subjective answers with three independent NLP modules (keyword matching, semantic similarity, and named-entity overlap) and fuses them with a four-layer deep neural network, reporting a low regression error. That design buys accuracy at the cost of accountability: the final combiner is opaque, the grade carries no trace back to the evidence, and the paper itself lists explainability and the integration of large language models as open work. This project keeps the three modules but replaces the decision component. A symbolic pathway (spaCy, YAKE, KeyBERT, WordNet) extracts reproducible, auditable quantities; a neural pathway (an offline Sentence-BERT encoder) measures the one thing rules cannot — semantic closeness to the reference. The two are merged not by a trained network but by a Mamdani fuzzy inference system whose small, human-readable IF–THEN rule base encodes the examiner's grading policy and whose per-rule firing strengths form the justification. On the public Mohler (2011) computer-science short-answer corpus (2,273 answers, 79 questions), the fuzzy combiner attains the best human agreement of any configuration tested (Quadratic Weighted Kappa 0.31, versus 0.26 for the best single module and 0.25 for a linear average); after a single affine calibration step it reaches held-out RMSE 19.9, below the mean-prediction baseline (21.9). The grader is highly stable: light paraphrasing moves a grade by 0.7 points on average, and appending irrelevant filler does not raise the grade. The contribution is architectural: ranking comparable to a trained black box, with an auditable, editable, hallucination-free decision procedure.</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Neuro-Symbolic AI, Automated Essay Scoring, Fuzzy Inference System, Explainable AI, Sentence Embeddings, Rule-Based NLP.</w:t>
      </w:r>
    </w:p>
    <w:p>
      <w:r>
        <w:br w:type="page"/>
      </w:r>
    </w:p>
    <w:p>
      <w:pPr>
        <w:pStyle w:val="Heading1"/>
        <w:keepNext/>
        <w:spacing w:after="140" w:before="280"/>
      </w:pPr>
      <w:bookmarkStart w:name="_Toc3" w:id="3"/>
      <w:r>
        <w:rPr>
          <w:rFonts w:ascii="Times New Roman" w:cs="Times New Roman" w:eastAsia="Times New Roman" w:hAnsi="Times New Roman"/>
          <w:b/>
          <w:bCs/>
          <w:color w:val="1F3864"/>
          <w:sz w:val="32"/>
          <w:szCs w:val="32"/>
        </w:rPr>
        <w:t xml:space="preserve">Table of Contents</w:t>
      </w:r>
      <w:bookmarkEnd w:id="3"/>
    </w:p>
    <w:sdt>
      <w:sdtPr>
        <w:alias w:val="Table of 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Declaration and Individual Contribution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Abstract</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Table of Contents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1.1 Background and Motivation</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1.2 Problem Statement</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1.3 Research Questions</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1.4 Contributions</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1.5 Organisation of the Report</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2. Literature Review</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2.1 Search Strategy</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2.2 Literature Summary Table</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2.3 Synthesis and Research Gap</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3. Objectives of the Project</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4. Innovation Component and System Design</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4.1 Innovation Component</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4.2 Positioning Against the Closest Existing Work</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4.3 System Architecture</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4.4 Module Description</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4.5 AI Techniques Used and Design Rationale</w:t>
            </w:r>
            <w:r>
              <w:tab/>
            </w:r>
            <w:r>
              <w:fldChar w:fldCharType="begin" w:dirty="true"/>
              <w:instrText xml:space="preserve">PAGEREF _Toc20 \h</w:instrText>
              <w:fldChar w:fldCharType="separate"/>
              <w:fldChar w:fldCharType="end"/>
            </w:r>
          </w:hyperlink>
        </w:p>
        <w:p>
          <w:pPr>
            <w:pStyle w:val="TOC3"/>
            <w:tabs>
              <w:tab w:val="right" w:pos="9026" w:leader="dot"/>
            </w:tabs>
          </w:pPr>
          <w:hyperlink w:history="1" w:anchor="_Toc21">
            <w:r>
              <w:t xml:space="preserve">Task formulation</w:t>
            </w:r>
            <w:r>
              <w:tab/>
            </w:r>
            <w:r>
              <w:fldChar w:fldCharType="begin" w:dirty="true"/>
              <w:instrText xml:space="preserve">PAGEREF _Toc21 \h</w:instrText>
              <w:fldChar w:fldCharType="separate"/>
              <w:fldChar w:fldCharType="end"/>
            </w:r>
          </w:hyperlink>
        </w:p>
        <w:p>
          <w:pPr>
            <w:pStyle w:val="TOC3"/>
            <w:tabs>
              <w:tab w:val="right" w:pos="9026" w:leader="dot"/>
            </w:tabs>
          </w:pPr>
          <w:hyperlink w:history="1" w:anchor="_Toc22">
            <w:r>
              <w:t xml:space="preserve">Techniques used</w:t>
            </w:r>
            <w:r>
              <w:tab/>
            </w:r>
            <w:r>
              <w:fldChar w:fldCharType="begin" w:dirty="true"/>
              <w:instrText xml:space="preserve">PAGEREF _Toc22 \h</w:instrText>
              <w:fldChar w:fldCharType="separate"/>
              <w:fldChar w:fldCharType="end"/>
            </w:r>
          </w:hyperlink>
        </w:p>
        <w:p>
          <w:pPr>
            <w:pStyle w:val="TOC3"/>
            <w:tabs>
              <w:tab w:val="right" w:pos="9026" w:leader="dot"/>
            </w:tabs>
          </w:pPr>
          <w:hyperlink w:history="1" w:anchor="_Toc23">
            <w:r>
              <w:t xml:space="preserve">Technique explanations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5. Methodology and Implementation</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5.1 Data</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5.2 Preprocessing</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5.3 Models Used</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5.4 Prompting, Fine-tuning and Retrieval Configuration</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5.5 Experimental Setup and Hyperparameters</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5.6 Compute and Cost</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5.7 Tools and Frameworks</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5.8 Implementation, Screenshots and Demo</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6. Evaluation Protocol</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6.1 Evaluation Data and Split Hygiene</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6.2 Metrics</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6.3 Baselines</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6.4 Human Evaluation and LLM-as-a-Judge</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6.5 Statistical Analysis</w:t>
            </w:r>
            <w:r>
              <w:tab/>
            </w:r>
            <w:r>
              <w:fldChar w:fldCharType="begin" w:dirty="true"/>
              <w:instrText xml:space="preserve">PAGEREF _Toc38 \h</w:instrText>
              <w:fldChar w:fldCharType="separate"/>
              <w:fldChar w:fldCharType="end"/>
            </w:r>
          </w:hyperlink>
        </w:p>
        <w:p>
          <w:pPr>
            <w:pStyle w:val="TOC1"/>
            <w:tabs>
              <w:tab w:val="right" w:pos="9026" w:leader="dot"/>
            </w:tabs>
          </w:pPr>
          <w:hyperlink w:history="1" w:anchor="_Toc39">
            <w:r>
              <w:t xml:space="preserve">7. Results and Discussion</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7.1 Main Results</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7.2 Comparative Analysis</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7.3 Ablation Study</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7.4 Error Analysis</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7.5 Answers to the Research Questions</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7.6 Threats to Validity and Limitations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8. Responsible AI and Ethical Considerations</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8.1 Risk Assessment</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8.2 Data Privacy and Consent</w:t>
            </w:r>
            <w:r>
              <w:tab/>
            </w:r>
            <w:r>
              <w:fldChar w:fldCharType="begin" w:dirty="true"/>
              <w:instrText xml:space="preserve">PAGEREF _Toc48 \h</w:instrText>
              <w:fldChar w:fldCharType="separate"/>
              <w:fldChar w:fldCharType="end"/>
            </w:r>
          </w:hyperlink>
        </w:p>
        <w:p>
          <w:pPr>
            <w:pStyle w:val="TOC2"/>
            <w:tabs>
              <w:tab w:val="right" w:pos="9026" w:leader="dot"/>
            </w:tabs>
          </w:pPr>
          <w:hyperlink w:history="1" w:anchor="_Toc49">
            <w:r>
              <w:t xml:space="preserve">8.3 Fairness</w:t>
            </w:r>
            <w:r>
              <w:tab/>
            </w:r>
            <w:r>
              <w:fldChar w:fldCharType="begin" w:dirty="true"/>
              <w:instrText xml:space="preserve">PAGEREF _Toc49 \h</w:instrText>
              <w:fldChar w:fldCharType="separate"/>
              <w:fldChar w:fldCharType="end"/>
            </w:r>
          </w:hyperlink>
        </w:p>
        <w:p>
          <w:pPr>
            <w:pStyle w:val="TOC2"/>
            <w:tabs>
              <w:tab w:val="right" w:pos="9026" w:leader="dot"/>
            </w:tabs>
          </w:pPr>
          <w:hyperlink w:history="1" w:anchor="_Toc50">
            <w:r>
              <w:t xml:space="preserve">8.4 Safety, Security and Misuse</w:t>
            </w:r>
            <w:r>
              <w:tab/>
            </w:r>
            <w:r>
              <w:fldChar w:fldCharType="begin" w:dirty="true"/>
              <w:instrText xml:space="preserve">PAGEREF _Toc50 \h</w:instrText>
              <w:fldChar w:fldCharType="separate"/>
              <w:fldChar w:fldCharType="end"/>
            </w:r>
          </w:hyperlink>
        </w:p>
        <w:p>
          <w:pPr>
            <w:pStyle w:val="TOC2"/>
            <w:tabs>
              <w:tab w:val="right" w:pos="9026" w:leader="dot"/>
            </w:tabs>
          </w:pPr>
          <w:hyperlink w:history="1" w:anchor="_Toc51">
            <w:r>
              <w:t xml:space="preserve">8.5 Licences and Attribution</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9. Conclusion and Future Work</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10. Reproducibility Checklist</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11. References</w:t>
            </w:r>
            <w:r>
              <w:tab/>
            </w:r>
            <w:r>
              <w:fldChar w:fldCharType="begin" w:dirty="true"/>
              <w:instrText xml:space="preserve">PAGEREF _Toc54 \h</w:instrText>
              <w:fldChar w:fldCharType="separate"/>
              <w:fldChar w:fldCharType="end"/>
            </w:r>
          </w:hyperlink>
        </w:p>
        <w:p>
          <w:pPr>
            <w:pStyle w:val="TOC1"/>
            <w:tabs>
              <w:tab w:val="right" w:pos="9026" w:leader="dot"/>
            </w:tabs>
          </w:pPr>
          <w:hyperlink w:history="1" w:anchor="_Toc55">
            <w:r>
              <w:t xml:space="preserve">12. Declaration of Generative AI Use</w:t>
            </w:r>
            <w:r>
              <w:tab/>
            </w:r>
            <w:r>
              <w:fldChar w:fldCharType="begin" w:dirty="true"/>
              <w:instrText xml:space="preserve">PAGEREF _Toc55 \h</w:instrText>
              <w:fldChar w:fldCharType="separate"/>
              <w:fldChar w:fldCharType="end"/>
            </w:r>
          </w:hyperlink>
        </w:p>
        <w:p>
          <w:pPr>
            <w:pStyle w:val="TOC1"/>
            <w:tabs>
              <w:tab w:val="right" w:pos="9026" w:leader="dot"/>
            </w:tabs>
          </w:pPr>
          <w:hyperlink w:history="1" w:anchor="_Toc56">
            <w:r>
              <w:t xml:space="preserve">Appendices</w:t>
            </w:r>
            <w:r>
              <w:tab/>
            </w:r>
            <w:r>
              <w:fldChar w:fldCharType="begin" w:dirty="true"/>
              <w:instrText xml:space="preserve">PAGEREF _Toc56 \h</w:instrText>
              <w:fldChar w:fldCharType="separate"/>
              <w:fldChar w:fldCharType="end"/>
            </w:r>
          </w:hyperlink>
        </w:p>
        <w:p>
          <w:pPr>
            <w:pStyle w:val="TOC2"/>
            <w:tabs>
              <w:tab w:val="right" w:pos="9026" w:leader="dot"/>
            </w:tabs>
          </w:pPr>
          <w:hyperlink w:history="1" w:anchor="_Toc57">
            <w:r>
              <w:t xml:space="preserve">Appendix A — Rule Base (the grading policy)</w:t>
            </w:r>
            <w:r>
              <w:tab/>
            </w:r>
            <w:r>
              <w:fldChar w:fldCharType="begin" w:dirty="true"/>
              <w:instrText xml:space="preserve">PAGEREF _Toc57 \h</w:instrText>
              <w:fldChar w:fldCharType="separate"/>
              <w:fldChar w:fldCharType="end"/>
            </w:r>
          </w:hyperlink>
        </w:p>
        <w:p>
          <w:pPr>
            <w:pStyle w:val="TOC2"/>
            <w:tabs>
              <w:tab w:val="right" w:pos="9026" w:leader="dot"/>
            </w:tabs>
          </w:pPr>
          <w:hyperlink w:history="1" w:anchor="_Toc58">
            <w:r>
              <w:t xml:space="preserve">Appendix B — Additional Figures</w:t>
            </w:r>
            <w:r>
              <w:tab/>
            </w:r>
            <w:r>
              <w:fldChar w:fldCharType="begin" w:dirty="true"/>
              <w:instrText xml:space="preserve">PAGEREF _Toc58 \h</w:instrText>
              <w:fldChar w:fldCharType="separate"/>
              <w:fldChar w:fldCharType="end"/>
            </w:r>
          </w:hyperlink>
        </w:p>
        <w:p>
          <w:r>
            <w:fldChar w:fldCharType="end"/>
          </w:r>
        </w:p>
      </w:sdtContent>
    </w:sdt>
    <w:p>
      <w:pPr>
        <w:spacing w:after="120" w:line="360"/>
        <w:jc w:val="both"/>
      </w:pPr>
      <w:r>
        <w:rPr>
          <w:rFonts w:ascii="Times New Roman" w:cs="Times New Roman" w:eastAsia="Times New Roman" w:hAnsi="Times New Roman"/>
          <w:i/>
          <w:iCs/>
          <w:color w:val="B00000"/>
          <w:sz w:val="22"/>
          <w:szCs w:val="22"/>
        </w:rPr>
        <w:t xml:space="preserve">In Word: right-click the field above → Update Field → Update entire table to populate page numbers. Also insert a List of Figures and a List of Tables if required.</w:t>
      </w:r>
    </w:p>
    <w:p>
      <w:r>
        <w:br w:type="page"/>
      </w:r>
    </w:p>
    <w:p>
      <w:pPr>
        <w:pStyle w:val="Heading1"/>
        <w:keepNext/>
        <w:spacing w:after="140" w:before="280"/>
      </w:pPr>
      <w:bookmarkStart w:name="_Toc4" w:id="4"/>
      <w:r>
        <w:rPr>
          <w:rFonts w:ascii="Times New Roman" w:cs="Times New Roman" w:eastAsia="Times New Roman" w:hAnsi="Times New Roman"/>
          <w:b/>
          <w:bCs/>
          <w:color w:val="1F3864"/>
          <w:sz w:val="32"/>
          <w:szCs w:val="32"/>
        </w:rPr>
        <w:t xml:space="preserve">1. Introduction</w:t>
      </w:r>
      <w:bookmarkEnd w:id="4"/>
    </w:p>
    <w:p>
      <w:pPr>
        <w:pStyle w:val="Heading2"/>
        <w:keepNext/>
        <w:spacing w:after="100" w:before="200"/>
      </w:pPr>
      <w:bookmarkStart w:name="_Toc5" w:id="5"/>
      <w:r>
        <w:rPr>
          <w:rFonts w:ascii="Times New Roman" w:cs="Times New Roman" w:eastAsia="Times New Roman" w:hAnsi="Times New Roman"/>
          <w:b/>
          <w:bCs/>
          <w:color w:val="2E4A7A"/>
          <w:sz w:val="28"/>
          <w:szCs w:val="28"/>
        </w:rPr>
        <w:t xml:space="preserve">1.1 Background and Motivation</w:t>
      </w:r>
      <w:bookmarkEnd w:id="5"/>
    </w:p>
    <w:p>
      <w:pPr>
        <w:spacing w:after="120" w:line="360"/>
        <w:jc w:val="both"/>
      </w:pPr>
      <w:r>
        <w:rPr>
          <w:rFonts w:ascii="Times New Roman" w:cs="Times New Roman" w:eastAsia="Times New Roman" w:hAnsi="Times New Roman"/>
          <w:sz w:val="24"/>
          <w:szCs w:val="24"/>
        </w:rPr>
        <w:t xml:space="preserve">Written assessment is the most informative and the most expensive form of evaluation in education. A short-answer or essay question reveals whether a student can organise an argument, apply a concept and express it precisely — things a multiple-choice item cannot probe. The cost is human time, and hand grading is inconsistent: the same script graded twice frequently receives different marks. Automating subjective-answer grading has therefore been an active goal for decades, and recent systems make it appear easy.</w:t>
      </w:r>
    </w:p>
    <w:p>
      <w:pPr>
        <w:spacing w:after="120" w:line="360"/>
        <w:jc w:val="both"/>
      </w:pPr>
      <w:r>
        <w:rPr>
          <w:rFonts w:ascii="Times New Roman" w:cs="Times New Roman" w:eastAsia="Times New Roman" w:hAnsi="Times New Roman"/>
          <w:sz w:val="24"/>
          <w:szCs w:val="24"/>
        </w:rPr>
        <w:t xml:space="preserve">The parent work this project extends, Agrawal et al. [1], is representative of the current state of the art. It decomposes grading into three NLP modules — a keyword module (YAKE and KeyBERT with WordNet expansion), a semantic similarity module (Sentence-BERT and SimCSE), and a named-entity recognition module (spaCy, NLTK and CamemBERT) — and feeds their three scores into a four-layer deep neural network that regresses the final mark, reaching a very low RMSE on a self-collected computer-science dataset. Notably, the faculty for this course, Dr. Ilanthenral Kandasamy, is a co-author of that paper, making it the natural anchor for a Track-E extension.</w:t>
      </w:r>
    </w:p>
    <w:p>
      <w:pPr>
        <w:spacing w:after="120" w:line="360"/>
        <w:jc w:val="both"/>
      </w:pPr>
      <w:r>
        <w:rPr>
          <w:rFonts w:ascii="Times New Roman" w:cs="Times New Roman" w:eastAsia="Times New Roman" w:hAnsi="Times New Roman"/>
          <w:sz w:val="24"/>
          <w:szCs w:val="24"/>
        </w:rPr>
        <w:t xml:space="preserve">A low error figure, however, is not the only property an assessment instrument must have. An opaque grader is unsuitable for an institutional workflow because: (i) the mark has no trace back to the evidence, so a contested grade cannot be defended; (ii) any natural-language justification is generated after and independently of the number, so it may be fabricated (hallucination is a systemic property of generative models [4]); and (iii) automated scorers historically over-weight superficial cues such as length [3]. Rudin [6] argues that for high-stakes decisions one should build models that are interpretable by construction rather than explain a black box after the fact. Grading is such a decision.</w:t>
      </w:r>
    </w:p>
    <w:p>
      <w:pPr>
        <w:pStyle w:val="Heading2"/>
        <w:keepNext/>
        <w:spacing w:after="100" w:before="200"/>
      </w:pPr>
      <w:bookmarkStart w:name="_Toc6" w:id="6"/>
      <w:r>
        <w:rPr>
          <w:rFonts w:ascii="Times New Roman" w:cs="Times New Roman" w:eastAsia="Times New Roman" w:hAnsi="Times New Roman"/>
          <w:b/>
          <w:bCs/>
          <w:color w:val="2E4A7A"/>
          <w:sz w:val="28"/>
          <w:szCs w:val="28"/>
        </w:rPr>
        <w:t xml:space="preserve">1.2 Problem Statement</w:t>
      </w:r>
      <w:bookmarkEnd w:id="6"/>
    </w:p>
    <w:p>
      <w:pPr>
        <w:spacing w:after="120" w:line="360"/>
        <w:jc w:val="both"/>
      </w:pPr>
      <w:r>
        <w:rPr>
          <w:rFonts w:ascii="Times New Roman" w:cs="Times New Roman" w:eastAsia="Times New Roman" w:hAnsi="Times New Roman"/>
          <w:i/>
          <w:iCs/>
          <w:sz w:val="24"/>
          <w:szCs w:val="24"/>
        </w:rPr>
        <w:t xml:space="preserve">Given a student's answer, a reference answer, and grading criteria, produce a final mark together with a complete, faithful and machine-verifiable justification, such that no single component — least of all a neural network — can unilaterally determine the mark.</w:t>
      </w:r>
    </w:p>
    <w:p>
      <w:pPr>
        <w:pStyle w:val="Heading2"/>
        <w:keepNext/>
        <w:spacing w:after="100" w:before="200"/>
      </w:pPr>
      <w:bookmarkStart w:name="_Toc7" w:id="7"/>
      <w:r>
        <w:rPr>
          <w:rFonts w:ascii="Times New Roman" w:cs="Times New Roman" w:eastAsia="Times New Roman" w:hAnsi="Times New Roman"/>
          <w:b/>
          <w:bCs/>
          <w:color w:val="2E4A7A"/>
          <w:sz w:val="28"/>
          <w:szCs w:val="28"/>
        </w:rPr>
        <w:t xml:space="preserve">1.3 Research Questions</w:t>
      </w:r>
      <w:bookmarkEnd w:id="7"/>
    </w:p>
    <w:p>
      <w:pPr>
        <w:pStyle w:val="ListParagraph"/>
        <w:numPr>
          <w:ilvl w:val="0"/>
          <w:numId w:val="1"/>
        </w:numPr>
        <w:spacing w:after="60" w:line="360"/>
        <w:jc w:val="both"/>
      </w:pPr>
      <w:r>
        <w:rPr>
          <w:rFonts w:ascii="Times New Roman" w:cs="Times New Roman" w:eastAsia="Times New Roman" w:hAnsi="Times New Roman"/>
          <w:sz w:val="24"/>
          <w:szCs w:val="24"/>
        </w:rPr>
        <w:t xml:space="preserve">RQ1: Can the opaque DNN combiner of the three-module grader [1] be replaced by a transparent fuzzy rule base without losing ranking agreement with human examiners, while making the decision auditable?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RQ2: Does fuzzy fusion of the three module scores outperform each individual module and a simple linear average on human agreement (Quadratic Weighted Kappa)?</w:t>
      </w:r>
    </w:p>
    <w:p>
      <w:pPr>
        <w:pStyle w:val="ListParagraph"/>
        <w:numPr>
          <w:ilvl w:val="0"/>
          <w:numId w:val="1"/>
        </w:numPr>
        <w:spacing w:after="60" w:line="360"/>
        <w:jc w:val="both"/>
      </w:pPr>
      <w:r>
        <w:rPr>
          <w:rFonts w:ascii="Times New Roman" w:cs="Times New Roman" w:eastAsia="Times New Roman" w:hAnsi="Times New Roman"/>
          <w:sz w:val="24"/>
          <w:szCs w:val="24"/>
        </w:rPr>
        <w:t xml:space="preserve">RQ3: Is the resulting grader stable under paraphrase and resistant to length-based gaming (padding)?</w:t>
      </w:r>
    </w:p>
    <w:p>
      <w:pPr>
        <w:pStyle w:val="Heading2"/>
        <w:keepNext/>
        <w:spacing w:after="100" w:before="200"/>
      </w:pPr>
      <w:bookmarkStart w:name="_Toc8" w:id="8"/>
      <w:r>
        <w:rPr>
          <w:rFonts w:ascii="Times New Roman" w:cs="Times New Roman" w:eastAsia="Times New Roman" w:hAnsi="Times New Roman"/>
          <w:b/>
          <w:bCs/>
          <w:color w:val="2E4A7A"/>
          <w:sz w:val="28"/>
          <w:szCs w:val="28"/>
        </w:rPr>
        <w:t xml:space="preserve">1.4 Contributions</w:t>
      </w:r>
      <w:bookmarkEnd w:id="8"/>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C1 — </w:t>
      </w:r>
      <w:r>
        <w:rPr>
          <w:rFonts w:ascii="Times New Roman" w:cs="Times New Roman" w:eastAsia="Times New Roman" w:hAnsi="Times New Roman"/>
          <w:sz w:val="24"/>
          <w:szCs w:val="24"/>
        </w:rPr>
        <w:t xml:space="preserve">We replace the parent paper's four-layer DNN combiner with a self-contained Mamdani fuzzy inference system that exposes the firing strength of every rule, so the explanation is a transcript of the computation (evidenced in §7.1, §7.4).</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C2 — </w:t>
      </w:r>
      <w:r>
        <w:rPr>
          <w:rFonts w:ascii="Times New Roman" w:cs="Times New Roman" w:eastAsia="Times New Roman" w:hAnsi="Times New Roman"/>
          <w:sz w:val="24"/>
          <w:szCs w:val="24"/>
        </w:rPr>
        <w:t xml:space="preserve">We re-implement all three parent modules fully offline (no external API), keeping them as auditable evidence producers (§5.3, ablation in §7.3).</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C3 — </w:t>
      </w:r>
      <w:r>
        <w:rPr>
          <w:rFonts w:ascii="Times New Roman" w:cs="Times New Roman" w:eastAsia="Times New Roman" w:hAnsi="Times New Roman"/>
          <w:sz w:val="24"/>
          <w:szCs w:val="24"/>
        </w:rPr>
        <w:t xml:space="preserve">We show empirically that fuzzy fusion achieves the best human agreement (QWK) of any configuration, beating every single module and a linear average on a public benchmark (§7.1, §7.3).</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C4 — </w:t>
      </w:r>
      <w:r>
        <w:rPr>
          <w:rFonts w:ascii="Times New Roman" w:cs="Times New Roman" w:eastAsia="Times New Roman" w:hAnsi="Times New Roman"/>
          <w:sz w:val="24"/>
          <w:szCs w:val="24"/>
        </w:rPr>
        <w:t xml:space="preserve">We evaluate robustness (paraphrase stability and padding resistance) — properties the parent paper did not measure (§7.1).</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C5 — </w:t>
      </w:r>
      <w:r>
        <w:rPr>
          <w:rFonts w:ascii="Times New Roman" w:cs="Times New Roman" w:eastAsia="Times New Roman" w:hAnsi="Times New Roman"/>
          <w:sz w:val="24"/>
          <w:szCs w:val="24"/>
        </w:rPr>
        <w:t xml:space="preserve">We deliver an interactive, explainable scorecard with an editable grading policy (strict/lenient) requiring no retraining (§4.5, §5.8).</w:t>
      </w:r>
    </w:p>
    <w:p>
      <w:pPr>
        <w:pStyle w:val="Heading2"/>
        <w:keepNext/>
        <w:spacing w:after="100" w:before="200"/>
      </w:pPr>
      <w:bookmarkStart w:name="_Toc9" w:id="9"/>
      <w:r>
        <w:rPr>
          <w:rFonts w:ascii="Times New Roman" w:cs="Times New Roman" w:eastAsia="Times New Roman" w:hAnsi="Times New Roman"/>
          <w:b/>
          <w:bCs/>
          <w:color w:val="2E4A7A"/>
          <w:sz w:val="28"/>
          <w:szCs w:val="28"/>
        </w:rPr>
        <w:t xml:space="preserve">1.5 Organisation of the Report</w:t>
      </w:r>
      <w:bookmarkEnd w:id="9"/>
    </w:p>
    <w:p>
      <w:pPr>
        <w:spacing w:after="120" w:line="360"/>
        <w:jc w:val="both"/>
      </w:pPr>
      <w:r>
        <w:rPr>
          <w:rFonts w:ascii="Times New Roman" w:cs="Times New Roman" w:eastAsia="Times New Roman" w:hAnsi="Times New Roman"/>
          <w:sz w:val="24"/>
          <w:szCs w:val="24"/>
        </w:rPr>
        <w:t xml:space="preserve">Section 2 reviews related work and states the research gap. Section 3 lists measurable objectives. Section 4 describes the innovation and system design. Section 5 covers data, models and implementation. Section 6 defines the evaluation protocol, and Section 7 reports and discusses results. Sections 8–10 address responsible AI, conclusions and reproducibility, followed by references and the generative-AI declaration.</w:t>
      </w:r>
    </w:p>
    <w:p>
      <w:pPr>
        <w:pStyle w:val="Heading1"/>
        <w:keepNext/>
        <w:spacing w:after="140" w:before="280"/>
      </w:pPr>
      <w:bookmarkStart w:name="_Toc10" w:id="10"/>
      <w:r>
        <w:rPr>
          <w:rFonts w:ascii="Times New Roman" w:cs="Times New Roman" w:eastAsia="Times New Roman" w:hAnsi="Times New Roman"/>
          <w:b/>
          <w:bCs/>
          <w:color w:val="1F3864"/>
          <w:sz w:val="32"/>
          <w:szCs w:val="32"/>
        </w:rPr>
        <w:t xml:space="preserve">2. Literature Review</w:t>
      </w:r>
      <w:bookmarkEnd w:id="10"/>
    </w:p>
    <w:p>
      <w:pPr>
        <w:pStyle w:val="Heading2"/>
        <w:keepNext/>
        <w:spacing w:after="100" w:before="200"/>
      </w:pPr>
      <w:bookmarkStart w:name="_Toc11" w:id="11"/>
      <w:r>
        <w:rPr>
          <w:rFonts w:ascii="Times New Roman" w:cs="Times New Roman" w:eastAsia="Times New Roman" w:hAnsi="Times New Roman"/>
          <w:b/>
          <w:bCs/>
          <w:color w:val="2E4A7A"/>
          <w:sz w:val="28"/>
          <w:szCs w:val="28"/>
        </w:rPr>
        <w:t xml:space="preserve">2.1 Search Strategy</w:t>
      </w:r>
      <w:bookmarkEnd w:id="11"/>
    </w:p>
    <w:p>
      <w:pPr>
        <w:spacing w:after="120" w:line="360"/>
        <w:jc w:val="both"/>
      </w:pPr>
      <w:r>
        <w:rPr>
          <w:rFonts w:ascii="Times New Roman" w:cs="Times New Roman" w:eastAsia="Times New Roman" w:hAnsi="Times New Roman"/>
          <w:sz w:val="24"/>
          <w:szCs w:val="24"/>
        </w:rPr>
        <w:t xml:space="preserve">We searched Google Scholar, Semantic Scholar, IEEE Xplore, the ACL Anthology and arXiv using combinations of the terms automated essay scoring, short-answer grading, neuro-symbolic, fuzzy inference, explainable grading, sentence embeddings and hallucination. We prioritised peer-reviewed venues (ACL, EMNLP, IJCAI, Nature Machine Intelligence, Expert Systems with Applications, Artificial Intelligence Review, ACM Computing Surveys) and the parent paper's own reference set. Inclusion criteria: direct relevance to subjective-answer grading, neuro-symbolic/fuzzy fusion, or the specific tooling we reuse. Every cited work was opened and read; no reference was included on the basis of a chatbot recommendation alone.</w:t>
      </w:r>
    </w:p>
    <w:p>
      <w:pPr>
        <w:spacing w:after="120" w:line="360"/>
        <w:jc w:val="both"/>
      </w:pPr>
      <w:r>
        <w:rPr>
          <w:rFonts w:ascii="Times New Roman" w:cs="Times New Roman" w:eastAsia="Times New Roman" w:hAnsi="Times New Roman"/>
          <w:i/>
          <w:iCs/>
          <w:color w:val="B00000"/>
          <w:sz w:val="22"/>
          <w:szCs w:val="22"/>
        </w:rPr>
        <w:t xml:space="preserve">ACADEMIC-INTEGRITY NOTE: the table below lists references the author has verified. The course requires at least 12 peer-reviewed sources from 2023 onward, most from 2024–2026, each with a DOI/arXiv ID. The author must add and personally verify the additional recent sources before submission — these have been intentionally NOT auto-generated, because invented or unverified references are treated as misconduct.</w:t>
      </w:r>
    </w:p>
    <w:p>
      <w:pPr>
        <w:pStyle w:val="Heading2"/>
        <w:keepNext/>
        <w:spacing w:after="100" w:before="200"/>
      </w:pPr>
      <w:bookmarkStart w:name="_Toc12" w:id="12"/>
      <w:r>
        <w:rPr>
          <w:rFonts w:ascii="Times New Roman" w:cs="Times New Roman" w:eastAsia="Times New Roman" w:hAnsi="Times New Roman"/>
          <w:b/>
          <w:bCs/>
          <w:color w:val="2E4A7A"/>
          <w:sz w:val="28"/>
          <w:szCs w:val="28"/>
        </w:rPr>
        <w:t xml:space="preserve">2.2 Literature Summary Table</w:t>
      </w:r>
      <w:bookmarkEnd w:id="12"/>
    </w:p>
    <w:p>
      <w:pPr>
        <w:spacing w:after="160" w:before="60"/>
        <w:jc w:val="center"/>
      </w:pPr>
      <w:r>
        <w:rPr>
          <w:rFonts w:ascii="Times New Roman" w:cs="Times New Roman" w:eastAsia="Times New Roman" w:hAnsi="Times New Roman"/>
          <w:i/>
          <w:iCs/>
          <w:sz w:val="20"/>
          <w:szCs w:val="20"/>
        </w:rPr>
        <w:t xml:space="preserve">Table 2.1: Summary of reviewed literature (add verified 2023+ rows to reach the minimum of 12).</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500"/>
        <w:gridCol w:w="1600"/>
        <w:gridCol w:w="1700"/>
        <w:gridCol w:w="1700"/>
        <w:gridCol w:w="1700"/>
        <w:gridCol w:w="1826"/>
      </w:tblGrid>
      <w:tr>
        <w:trPr>
          <w:tblHeader/>
        </w:trPr>
        <w:tc>
          <w:tcPr>
            <w:tcW w:type="dxa" w:w="5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w:t>
            </w:r>
          </w:p>
        </w:tc>
        <w:tc>
          <w:tcPr>
            <w:tcW w:type="dxa" w:w="1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Authors, Year [Ref.]</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Concept / Framework</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Method &amp; Evaluation</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Key Findings (numbers)</w:t>
            </w:r>
          </w:p>
        </w:tc>
        <w:tc>
          <w:tcPr>
            <w:tcW w:type="dxa" w:w="18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Relevance to Our Project</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1</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Agrawal et al., 2024 [1]</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Three-module NLP grader + DNN fusion (PARENT PAPER)</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YAKE/KeyBERT + SBERT/SimCSE + CamemBERT NER → 4-layer DNN; RMSE on ~190 CS Q&amp;A</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RMSE ≈ 0.033–0.039 (normalised); CamemBERT best for NER</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The system we extend; we reuse its 3 modules and replace the DNN with a fuzzy rule base</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2</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Mohler, Bunescu &amp; Mihalcea, 2011 [2]</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Short-answer grading via similarity + dependency alignment</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Semantic similarity + graph alignment; Pearson/RMSE on UNT CS corpus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Pearson ≈ 0.46–0.52 (unsupervised)</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Source of our benchmark dataset (2,273 CS answers)</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3</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Garcez &amp; Lamb, 2023 [3]</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Neuro-symbolic AI survey (‘3rd wave’)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Survey / taxonomy of neural–symbolic integration</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Identifies explainability &amp; trust as central motivations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Frames our neural-perception / symbolic-control design</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4</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Ji et al., 2023 [4]</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Survey of hallucination in NLG</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Taxonomy + causes + mitigations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Hallucination is systemic across NLG tasks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Motivates removing the LLM from the decision path</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5</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Mizumoto &amp; Eguchi, 2023 [5]</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LLM for automated essay scoring</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GPT-based zero-shot scoring of TOEFL essays; agreement with raters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Usable agreement; improves with linguistic features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Evidence that hybrid (features + neural) beats pure neural</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6</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Rudin, 2019 [6]</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Interpretable models for high-stakes decisions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Position paper</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Argues against post-hoc explanation of black boxes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Core justification for an interpretable-by-construction grader</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7</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Reimers &amp; Gurevych, 2019 [7]</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Sentence-BERT embeddings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Siamese BERT; STS benchmarks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Fast, accurate sentence similarity</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Our offline neural (semantic) module</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8</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Ke &amp; Ng, 2019 [8]</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AES state-of-the-art survey</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Survey</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Documents length bias &amp; gaming of AES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Motivates our padding-resistance test</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9</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Mamdani &amp; Assilian, 1975 [9]</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Fuzzy inference controller</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Mamdani inference + defuzzification</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Linguistic control with IF-THEN rules</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Our fusion mechanism</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10</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Zadeh, 1965 [10]</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Fuzzy sets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Membership functions μ:X→[0,1]</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Foundation of partial membership</w:t>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Basis of our linguistic variables</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11</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[ADD verified 2023+ source]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12</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[ADD verified 2023+ source]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c>
          <w:tcPr>
            <w:tcW w:type="dxa" w:w="1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
            </w:r>
          </w:p>
        </w:tc>
      </w:tr>
    </w:tbl>
    <w:p>
      <w:pPr>
        <w:pStyle w:val="Heading2"/>
        <w:keepNext/>
        <w:spacing w:after="100" w:before="200"/>
      </w:pPr>
      <w:bookmarkStart w:name="_Toc13" w:id="13"/>
      <w:r>
        <w:rPr>
          <w:rFonts w:ascii="Times New Roman" w:cs="Times New Roman" w:eastAsia="Times New Roman" w:hAnsi="Times New Roman"/>
          <w:b/>
          <w:bCs/>
          <w:color w:val="2E4A7A"/>
          <w:sz w:val="28"/>
          <w:szCs w:val="28"/>
        </w:rPr>
        <w:t xml:space="preserve">2.3 Synthesis and Research Gap</w:t>
      </w:r>
      <w:bookmarkEnd w:id="13"/>
    </w:p>
    <w:p>
      <w:pPr>
        <w:spacing w:after="120" w:line="360"/>
        <w:jc w:val="both"/>
      </w:pPr>
      <w:r>
        <w:rPr>
          <w:rFonts w:ascii="Times New Roman" w:cs="Times New Roman" w:eastAsia="Times New Roman" w:hAnsi="Times New Roman"/>
          <w:sz w:val="24"/>
          <w:szCs w:val="24"/>
        </w:rPr>
        <w:t xml:space="preserve">Three themes emerge. (i) Feature-based AES is transparent but semantically blind and gameable by length [3], [8]. (ii) Neural and LLM-based AES is semantically capable but unaccountable, and its self-generated explanations are unreliable [4], [6]. (iii) Hybrid designs such as the parent paper [1] and [5] improve accuracy by combining linguistic and neural signals, but still fuse them inside a trained statistical model, leaving the decision itself opaque. Neuro-symbolic work [3] argues the correct remedy is to let a symbolic procedure own the decision while neural components act as bounded sensors.</w:t>
      </w:r>
    </w:p>
    <w:p>
      <w:pPr>
        <w:spacing w:after="120" w:line="360"/>
        <w:jc w:val="both"/>
      </w:pPr>
      <w:r>
        <w:rPr>
          <w:rFonts w:ascii="Times New Roman" w:cs="Times New Roman" w:eastAsia="Times New Roman" w:hAnsi="Times New Roman"/>
          <w:b/>
          <w:bCs/>
          <w:sz w:val="24"/>
          <w:szCs w:val="24"/>
        </w:rPr>
        <w:t xml:space="preserve">Gap: </w:t>
      </w:r>
      <w:r>
        <w:rPr>
          <w:rFonts w:ascii="Times New Roman" w:cs="Times New Roman" w:eastAsia="Times New Roman" w:hAnsi="Times New Roman"/>
          <w:sz w:val="24"/>
          <w:szCs w:val="24"/>
        </w:rPr>
        <w:t xml:space="preserve">no existing subjective-answer grader keeps the accuracy of multi-signal neural fusion while making the final decision auditable, editable by a non-programmer, and provably hallucination-free. This project targets exactly that gap by replacing the parent paper's DNN combiner with a transparent fuzzy rule base.</w:t>
      </w:r>
    </w:p>
    <w:p>
      <w:pPr>
        <w:pStyle w:val="Heading1"/>
        <w:keepNext/>
        <w:spacing w:after="140" w:before="280"/>
      </w:pPr>
      <w:bookmarkStart w:name="_Toc14" w:id="14"/>
      <w:r>
        <w:rPr>
          <w:rFonts w:ascii="Times New Roman" w:cs="Times New Roman" w:eastAsia="Times New Roman" w:hAnsi="Times New Roman"/>
          <w:b/>
          <w:bCs/>
          <w:color w:val="1F3864"/>
          <w:sz w:val="32"/>
          <w:szCs w:val="32"/>
        </w:rPr>
        <w:t xml:space="preserve">3. Objectives of the Project</w:t>
      </w:r>
      <w:bookmarkEnd w:id="14"/>
    </w:p>
    <w:p>
      <w:pPr>
        <w:spacing w:after="120" w:line="360"/>
        <w:jc w:val="both"/>
      </w:pPr>
      <w:r>
        <w:rPr>
          <w:rFonts w:ascii="Times New Roman" w:cs="Times New Roman" w:eastAsia="Times New Roman" w:hAnsi="Times New Roman"/>
          <w:sz w:val="24"/>
          <w:szCs w:val="24"/>
        </w:rPr>
        <w:t xml:space="preserve">The project builds an explainable neuro-symbolic grader that extends a three-module NLP grader by replacing its opaque neural combiner with a fuzzy rule base, and evaluates it on a public computer-science short-answer benchmark against purely neural and purely symbolic baselines.</w:t>
      </w:r>
    </w:p>
    <w:p>
      <w:pPr>
        <w:spacing w:after="160" w:before="60"/>
        <w:jc w:val="center"/>
      </w:pPr>
      <w:r>
        <w:rPr>
          <w:rFonts w:ascii="Times New Roman" w:cs="Times New Roman" w:eastAsia="Times New Roman" w:hAnsi="Times New Roman"/>
          <w:i/>
          <w:iCs/>
          <w:sz w:val="20"/>
          <w:szCs w:val="20"/>
        </w:rPr>
        <w:t xml:space="preserve">Table 3.1: Project objectives and how they are measured.</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500"/>
        <w:gridCol w:w="2550"/>
        <w:gridCol w:w="2450"/>
        <w:gridCol w:w="2300"/>
        <w:gridCol w:w="1226"/>
      </w:tblGrid>
      <w:tr>
        <w:trPr>
          <w:tblHeader/>
        </w:trPr>
        <w:tc>
          <w:tcPr>
            <w:tcW w:type="dxa" w:w="5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w:t>
            </w:r>
          </w:p>
        </w:tc>
        <w:tc>
          <w:tcPr>
            <w:tcW w:type="dxa" w:w="255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Objective (specific and measurable)</w:t>
            </w:r>
          </w:p>
        </w:tc>
        <w:tc>
          <w:tcPr>
            <w:tcW w:type="dxa" w:w="245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Measured by (metric / evidence)</w:t>
            </w:r>
          </w:p>
        </w:tc>
        <w:tc>
          <w:tcPr>
            <w:tcW w:type="dxa" w:w="2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Target / success criterion</w:t>
            </w:r>
          </w:p>
        </w:tc>
        <w:tc>
          <w:tcPr>
            <w:tcW w:type="dxa" w:w="12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Reported in</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O1</w:t>
            </w:r>
          </w:p>
        </w:tc>
        <w:tc>
          <w:tcPr>
            <w:tcW w:type="dxa" w:w="25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Replace the DNN combiner with a transparent fuzzy rule base that justifies each grade</w:t>
            </w:r>
          </w:p>
        </w:tc>
        <w:tc>
          <w:tcPr>
            <w:tcW w:type="dxa" w:w="24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Per-rule firing-strength trace present in every scorecard</w:t>
            </w:r>
          </w:p>
        </w:tc>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Every grade traceable to fired rules</w:t>
            </w:r>
          </w:p>
        </w:tc>
        <w:tc>
          <w:tcPr>
            <w:tcW w:type="dxa" w:w="1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§4.5, §7.4</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O2</w:t>
            </w:r>
          </w:p>
        </w:tc>
        <w:tc>
          <w:tcPr>
            <w:tcW w:type="dxa" w:w="25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Match or exceed single-module &amp; linear-fusion ranking agreement with humans</w:t>
            </w:r>
          </w:p>
        </w:tc>
        <w:tc>
          <w:tcPr>
            <w:tcW w:type="dxa" w:w="24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Quadratic Weighted Kappa on Mohler test set</w:t>
            </w:r>
          </w:p>
        </w:tc>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QWK(full) ≥ QWK(best module) and ≥ QWK(linear mean)</w:t>
            </w:r>
          </w:p>
        </w:tc>
        <w:tc>
          <w:tcPr>
            <w:tcW w:type="dxa" w:w="1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§7.1, §7.3</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O3</w:t>
            </w:r>
          </w:p>
        </w:tc>
        <w:tc>
          <w:tcPr>
            <w:tcW w:type="dxa" w:w="25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Achieve competitive regression error vs the trained parent approach</w:t>
            </w:r>
          </w:p>
        </w:tc>
        <w:tc>
          <w:tcPr>
            <w:tcW w:type="dxa" w:w="24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RMSE on held-out set (after transparent calibration)</w:t>
            </w:r>
          </w:p>
        </w:tc>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RMSE below the mean-prediction baseline</w:t>
            </w:r>
          </w:p>
        </w:tc>
        <w:tc>
          <w:tcPr>
            <w:tcW w:type="dxa" w:w="1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§7.1</w:t>
            </w:r>
          </w:p>
        </w:tc>
      </w:tr>
      <w:tr>
        <w:tc>
          <w:tcPr>
            <w:tcW w:type="dxa" w:w="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O4</w:t>
            </w:r>
          </w:p>
        </w:tc>
        <w:tc>
          <w:tcPr>
            <w:tcW w:type="dxa" w:w="25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Demonstrate stability &amp; gaming-resistance</w:t>
            </w:r>
          </w:p>
        </w:tc>
        <w:tc>
          <w:tcPr>
            <w:tcW w:type="dxa" w:w="245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Paraphrase grade drift; grade change under padding</w:t>
            </w:r>
          </w:p>
        </w:tc>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Mean drift &lt; 3 pts; padding does not raise grade</w:t>
            </w:r>
          </w:p>
        </w:tc>
        <w:tc>
          <w:tcPr>
            <w:tcW w:type="dxa" w:w="1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§7.1</w:t>
            </w:r>
          </w:p>
        </w:tc>
      </w:tr>
    </w:tbl>
    <w:p>
      <w:pPr>
        <w:pStyle w:val="Heading1"/>
        <w:keepNext/>
        <w:spacing w:after="140" w:before="280"/>
      </w:pPr>
      <w:bookmarkStart w:name="_Toc15" w:id="15"/>
      <w:r>
        <w:rPr>
          <w:rFonts w:ascii="Times New Roman" w:cs="Times New Roman" w:eastAsia="Times New Roman" w:hAnsi="Times New Roman"/>
          <w:b/>
          <w:bCs/>
          <w:color w:val="1F3864"/>
          <w:sz w:val="32"/>
          <w:szCs w:val="32"/>
        </w:rPr>
        <w:t xml:space="preserve">4. Innovation Component and System Design</w:t>
      </w:r>
      <w:bookmarkEnd w:id="15"/>
    </w:p>
    <w:p>
      <w:pPr>
        <w:pStyle w:val="Heading2"/>
        <w:keepNext/>
        <w:spacing w:after="100" w:before="200"/>
      </w:pPr>
      <w:bookmarkStart w:name="_Toc16" w:id="16"/>
      <w:r>
        <w:rPr>
          <w:rFonts w:ascii="Times New Roman" w:cs="Times New Roman" w:eastAsia="Times New Roman" w:hAnsi="Times New Roman"/>
          <w:b/>
          <w:bCs/>
          <w:color w:val="2E4A7A"/>
          <w:sz w:val="28"/>
          <w:szCs w:val="28"/>
        </w:rPr>
        <w:t xml:space="preserve">4.1 Innovation Component</w:t>
      </w:r>
      <w:bookmarkEnd w:id="16"/>
    </w:p>
    <w:p>
      <w:pPr>
        <w:spacing w:after="120" w:line="360"/>
        <w:jc w:val="both"/>
      </w:pPr>
      <w:r>
        <w:rPr>
          <w:rFonts w:ascii="Times New Roman" w:cs="Times New Roman" w:eastAsia="Times New Roman" w:hAnsi="Times New Roman"/>
          <w:sz w:val="24"/>
          <w:szCs w:val="24"/>
        </w:rPr>
        <w:t xml:space="preserve">The innovation is the relocation of the grading decision from a trained black box to a transparent fuzzy rule base, without discarding the neural semantic signal. In the parent paper the three module scores enter a four-layer network whose weights are uninterpretable; a wrong or adversarial module score can silently move the mark, and the only ‘explanation’ available is a post-hoc narrative. We instead feed the same three scores into a Mamdani fuzzy inference system whose IF–THEN rules are written in natural language, can be read and edited by the examiner, and expose the firing strength of every rule. This is non-trivial: it requires (i) re-implementing the three modules so their outputs are commensurable and calibrated to a common 0–100 scale; (ii) designing membership functions and a rule base that encode a defensible grading policy; and (iii) engineering the inference engine so the per-rule trace — the justification — is recoverable, which off-the-shelf toolkits do not expose cleanly.</w:t>
      </w:r>
    </w:p>
    <w:p>
      <w:pPr>
        <w:pStyle w:val="Heading2"/>
        <w:keepNext/>
        <w:spacing w:after="100" w:before="200"/>
      </w:pPr>
      <w:bookmarkStart w:name="_Toc17" w:id="17"/>
      <w:r>
        <w:rPr>
          <w:rFonts w:ascii="Times New Roman" w:cs="Times New Roman" w:eastAsia="Times New Roman" w:hAnsi="Times New Roman"/>
          <w:b/>
          <w:bCs/>
          <w:color w:val="2E4A7A"/>
          <w:sz w:val="28"/>
          <w:szCs w:val="28"/>
        </w:rPr>
        <w:t xml:space="preserve">4.2 Positioning Against the Closest Existing Work</w:t>
      </w:r>
      <w:bookmarkEnd w:id="17"/>
    </w:p>
    <w:p>
      <w:pPr>
        <w:spacing w:after="160" w:before="60"/>
        <w:jc w:val="center"/>
      </w:pPr>
      <w:r>
        <w:rPr>
          <w:rFonts w:ascii="Times New Roman" w:cs="Times New Roman" w:eastAsia="Times New Roman" w:hAnsi="Times New Roman"/>
          <w:i/>
          <w:iCs/>
          <w:sz w:val="20"/>
          <w:szCs w:val="20"/>
        </w:rPr>
        <w:t xml:space="preserve">Table 4.1: Comparison with the closest existing works.</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126"/>
        <w:gridCol w:w="1800"/>
        <w:gridCol w:w="1700"/>
        <w:gridCol w:w="1600"/>
        <w:gridCol w:w="1800"/>
      </w:tblGrid>
      <w:tr>
        <w:trPr>
          <w:tblHeader/>
        </w:trPr>
        <w:tc>
          <w:tcPr>
            <w:tcW w:type="dxa" w:w="21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Feature / capability</w:t>
            </w:r>
          </w:p>
        </w:tc>
        <w:tc>
          <w:tcPr>
            <w:tcW w:type="dxa" w:w="18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Agrawal et al. 2024 [1]</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LLM-as-grader [5]</w:t>
            </w:r>
          </w:p>
        </w:tc>
        <w:tc>
          <w:tcPr>
            <w:tcW w:type="dxa" w:w="1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Mohler 2011 [2]</w:t>
            </w:r>
          </w:p>
        </w:tc>
        <w:tc>
          <w:tcPr>
            <w:tcW w:type="dxa" w:w="18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Our project</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Semantic understanding</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(SBERT/SimCSE)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(LLM)</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Partial (similarity)</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(SBERT, offline)</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Final decision mechanism</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4-layer DNN (opaque)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LLM (opaque)</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Regression on similarity</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Fuzzy rule base (transparent)</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Per-decision justification</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Post-hoc, may hallucinate</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(fired rules + strengths)</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Editable by non-programmer</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Prompt only</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(swap rule set)</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Needs training on grades</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Partial</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 (rules fixed)</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Stability / gaming tested</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 (paraphrase, padding)</w:t>
            </w:r>
          </w:p>
        </w:tc>
      </w:tr>
      <w:tr>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Runs fully offline</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Partly</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 (API)</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1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r>
    </w:tbl>
    <w:p>
      <w:pPr>
        <w:pStyle w:val="Heading2"/>
        <w:keepNext/>
        <w:spacing w:after="100" w:before="200"/>
      </w:pPr>
      <w:bookmarkStart w:name="_Toc18" w:id="18"/>
      <w:r>
        <w:rPr>
          <w:rFonts w:ascii="Times New Roman" w:cs="Times New Roman" w:eastAsia="Times New Roman" w:hAnsi="Times New Roman"/>
          <w:b/>
          <w:bCs/>
          <w:color w:val="2E4A7A"/>
          <w:sz w:val="28"/>
          <w:szCs w:val="28"/>
        </w:rPr>
        <w:t xml:space="preserve">4.3 System Architecture</w:t>
      </w:r>
      <w:bookmarkEnd w:id="18"/>
    </w:p>
    <w:p>
      <w:pPr>
        <w:spacing w:after="120" w:line="360"/>
        <w:jc w:val="both"/>
      </w:pPr>
      <w:r>
        <w:rPr>
          <w:rFonts w:ascii="Times New Roman" w:cs="Times New Roman" w:eastAsia="Times New Roman" w:hAnsi="Times New Roman"/>
          <w:sz w:val="24"/>
          <w:szCs w:val="24"/>
        </w:rPr>
        <w:t xml:space="preserve">Figure 4.1 shows the architecture. The input is a (student answer, reference answer) pair. Two pathways run independently and never influence one another: a symbolic pathway produces keyword, NER and mechanics scores; a neural pathway produces a semantic-similarity score. The three parent-paper scores (keyword, similarity, NER) are the inputs to the Mamdani fuzzy engine, which owns the decision and emits a grade plus an explainable scorecard. Mechanics enters only as a small, transparent penalty.</w:t>
      </w:r>
    </w:p>
    <w:p>
      <w:pPr>
        <w:spacing w:after="20" w:before="120"/>
        <w:jc w:val="center"/>
      </w:pPr>
      <w:r>
        <w:drawing>
          <wp:inline distT="0" distB="0" distL="0" distR="0">
            <wp:extent cx="5334000" cy="38290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8290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4.1: System architecture. The three NLP modules feed a Mamdani fuzzy engine that replaces the parent paper's DNN. The pathways meet only inside the explicit, human-readable rule base.</w:t>
      </w:r>
    </w:p>
    <w:p>
      <w:pPr>
        <w:pStyle w:val="Heading2"/>
        <w:keepNext/>
        <w:spacing w:after="100" w:before="200"/>
      </w:pPr>
      <w:bookmarkStart w:name="_Toc19" w:id="19"/>
      <w:r>
        <w:rPr>
          <w:rFonts w:ascii="Times New Roman" w:cs="Times New Roman" w:eastAsia="Times New Roman" w:hAnsi="Times New Roman"/>
          <w:b/>
          <w:bCs/>
          <w:color w:val="2E4A7A"/>
          <w:sz w:val="28"/>
          <w:szCs w:val="28"/>
        </w:rPr>
        <w:t xml:space="preserve">4.4 Module Description</w:t>
      </w:r>
      <w:bookmarkEnd w:id="19"/>
    </w:p>
    <w:p>
      <w:pPr>
        <w:spacing w:after="160" w:before="60"/>
        <w:jc w:val="center"/>
      </w:pPr>
      <w:r>
        <w:rPr>
          <w:rFonts w:ascii="Times New Roman" w:cs="Times New Roman" w:eastAsia="Times New Roman" w:hAnsi="Times New Roman"/>
          <w:i/>
          <w:iCs/>
          <w:sz w:val="20"/>
          <w:szCs w:val="20"/>
        </w:rPr>
        <w:t xml:space="preserve">Table 4.2: Modules — purpose, inputs, outputs, technique, owner.</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1700"/>
        <w:gridCol w:w="1700"/>
        <w:gridCol w:w="1500"/>
        <w:gridCol w:w="2826"/>
        <w:gridCol w:w="1300"/>
      </w:tblGrid>
      <w:tr>
        <w:trPr>
          <w:tblHeader/>
        </w:trPr>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Module</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Purpose</w:t>
            </w:r>
          </w:p>
        </w:tc>
        <w:tc>
          <w:tcPr>
            <w:tcW w:type="dxa" w:w="15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Input → Output</w:t>
            </w:r>
          </w:p>
        </w:tc>
        <w:tc>
          <w:tcPr>
            <w:tcW w:type="dxa" w:w="28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Technique</w:t>
            </w:r>
          </w:p>
        </w:tc>
        <w:tc>
          <w:tcPr>
            <w:tcW w:type="dxa" w:w="1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Owner</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Keyword (symbolic)</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Rubric keyword coverage</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answers → 0–100</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YAKE + KeyBERT extraction, WordNet synonym expansion, coverage %</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Similarity (neural)</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Semantic closeness to reference</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answers → 0–100</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Sentence-BERT (all-MiniLM-L6-v2) cosine + per-sentence coverage (0.75 threshold)</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NER (symbolic)</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Named-entity / value overlap</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answers → 0–100</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spaCy entities + numbers/big-O; Jaccard overlap</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Mechanics (symbolic, advisory)</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Surface quality</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answer → 0–100</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Length adequacy, grammar-error rate, dependency depth</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Fuzzy engine</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Fuse + decide + justify</w:t>
            </w:r>
          </w:p>
        </w:tc>
        <w:tc>
          <w:tcPr>
            <w:tcW w:type="dxa" w:w="15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3 scores → grade + trace</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Mamdani FIS (triangular/trapezoidal MFs, min/max, centroid)</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Sahil Barnwal</w:t>
            </w:r>
          </w:p>
        </w:tc>
      </w:tr>
    </w:tbl>
    <w:p>
      <w:pPr>
        <w:pStyle w:val="Heading2"/>
        <w:keepNext/>
        <w:spacing w:after="100" w:before="200"/>
      </w:pPr>
      <w:bookmarkStart w:name="_Toc20" w:id="20"/>
      <w:r>
        <w:rPr>
          <w:rFonts w:ascii="Times New Roman" w:cs="Times New Roman" w:eastAsia="Times New Roman" w:hAnsi="Times New Roman"/>
          <w:b/>
          <w:bCs/>
          <w:color w:val="2E4A7A"/>
          <w:sz w:val="28"/>
          <w:szCs w:val="28"/>
        </w:rPr>
        <w:t xml:space="preserve">4.5 AI Techniques Used and Design Rationale</w:t>
      </w:r>
      <w:bookmarkEnd w:id="20"/>
    </w:p>
    <w:p>
      <w:pPr>
        <w:pStyle w:val="Heading3"/>
        <w:keepNext/>
        <w:spacing w:after="80" w:before="160"/>
      </w:pPr>
      <w:bookmarkStart w:name="_Toc21" w:id="21"/>
      <w:r>
        <w:rPr>
          <w:rFonts w:ascii="Times New Roman" w:cs="Times New Roman" w:eastAsia="Times New Roman" w:hAnsi="Times New Roman"/>
          <w:b/>
          <w:bCs/>
          <w:sz w:val="24"/>
          <w:szCs w:val="24"/>
        </w:rPr>
        <w:t xml:space="preserve">Task formulation</w:t>
      </w:r>
      <w:bookmarkEnd w:id="21"/>
    </w:p>
    <w:p>
      <w:pPr>
        <w:spacing w:after="120" w:line="360"/>
        <w:jc w:val="both"/>
      </w:pPr>
      <w:r>
        <w:rPr>
          <w:rFonts w:ascii="Times New Roman" w:cs="Times New Roman" w:eastAsia="Times New Roman" w:hAnsi="Times New Roman"/>
          <w:sz w:val="24"/>
          <w:szCs w:val="24"/>
        </w:rPr>
        <w:t xml:space="preserve">The AI component decides a numeric grade (0–100) for a student answer given a reference answer. Its inputs are the two texts; its output is a grade plus a scorecard. Level of autonomy: it suggests to a human examiner (decision support) — it is explicitly a research prototype, not a replacement for a human grader (see §8). Uncertainty enters through the neural similarity estimate and through keyword/entity extraction noise; the fuzzy layer bounds the effect of any single noisy input because the grade is a centroid over a small rule base rather than a product of trained weights.</w:t>
      </w:r>
    </w:p>
    <w:p>
      <w:pPr>
        <w:pStyle w:val="Heading3"/>
        <w:keepNext/>
        <w:spacing w:after="80" w:before="160"/>
      </w:pPr>
      <w:bookmarkStart w:name="_Toc22" w:id="22"/>
      <w:r>
        <w:rPr>
          <w:rFonts w:ascii="Times New Roman" w:cs="Times New Roman" w:eastAsia="Times New Roman" w:hAnsi="Times New Roman"/>
          <w:b/>
          <w:bCs/>
          <w:sz w:val="24"/>
          <w:szCs w:val="24"/>
        </w:rPr>
        <w:t xml:space="preserve">Techniques used</w:t>
      </w:r>
      <w:bookmarkEnd w:id="22"/>
    </w:p>
    <w:p>
      <w:pPr>
        <w:spacing w:after="160" w:before="60"/>
        <w:jc w:val="center"/>
      </w:pPr>
      <w:r>
        <w:rPr>
          <w:rFonts w:ascii="Times New Roman" w:cs="Times New Roman" w:eastAsia="Times New Roman" w:hAnsi="Times New Roman"/>
          <w:i/>
          <w:iCs/>
          <w:sz w:val="20"/>
          <w:szCs w:val="20"/>
        </w:rPr>
        <w:t xml:space="preserve">Table 4.3: AI techniques used (Level: a = off-the-shelf, b = configured/tuned, c = modified/implemented by us).</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600"/>
        <w:gridCol w:w="1100"/>
        <w:gridCol w:w="900"/>
        <w:gridCol w:w="4426"/>
      </w:tblGrid>
      <w:tr>
        <w:trPr>
          <w:tblHeader/>
        </w:trPr>
        <w:tc>
          <w:tcPr>
            <w:tcW w:type="dxa" w:w="2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AI technique</w:t>
            </w:r>
          </w:p>
        </w:tc>
        <w:tc>
          <w:tcPr>
            <w:tcW w:type="dxa" w:w="11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Used? (Y/N)</w:t>
            </w:r>
          </w:p>
        </w:tc>
        <w:tc>
          <w:tcPr>
            <w:tcW w:type="dxa" w:w="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Level</w:t>
            </w:r>
          </w:p>
        </w:tc>
        <w:tc>
          <w:tcPr>
            <w:tcW w:type="dxa" w:w="44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7"/>
                <w:szCs w:val="17"/>
              </w:rPr>
              <w:t xml:space="preserve">Where in our system, and why over the alternative</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Embeddings &amp; dense similarity (sentence encoders, cosine)</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b</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Similarity module (SBERT). Cosine on normalised embeddings chosen over BM25/TF-IDF for semantic (not lexical) matching</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Fuzzy logic (membership functions, rule inference)</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c</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The fusion/decision layer. Mamdani chosen over Sugeno for readable, linguistic consequents the examiner can edit</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Neuro-symbolic integration (neural + symbolic, symbolic justification)</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c</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Whole architecture: neural sensor + symbolic decision; justification is the rule trace</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Uncertainty / calibration</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c</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Affine calibration of the fuzzy output (§7); QWK/Pearson reported with it</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LLM evaluation methodology (agreement metrics, human kappa)</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b</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Evaluation: QWK/Pearson/RMSE vs human grades</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Classical ML / feature engineering</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b</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Keyword/NER/mechanics features normalised to 0–100</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Large language models (generative)</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Deliberately excluded so nothing can hallucinate the grade</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Prompt engineering / RAG / agents / fine-tuning</w:t>
            </w:r>
          </w:p>
        </w:tc>
        <w:tc>
          <w:tcPr>
            <w:tcW w:type="dxa" w:w="1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7"/>
                <w:szCs w:val="17"/>
              </w:rPr>
              <w:t xml:space="preserve">Not used; no generation in the pipeline</w:t>
            </w:r>
          </w:p>
        </w:tc>
      </w:tr>
    </w:tbl>
    <w:p>
      <w:pPr>
        <w:pStyle w:val="Heading3"/>
        <w:keepNext/>
        <w:spacing w:after="80" w:before="160"/>
      </w:pPr>
      <w:bookmarkStart w:name="_Toc23" w:id="23"/>
      <w:r>
        <w:rPr>
          <w:rFonts w:ascii="Times New Roman" w:cs="Times New Roman" w:eastAsia="Times New Roman" w:hAnsi="Times New Roman"/>
          <w:b/>
          <w:bCs/>
          <w:sz w:val="24"/>
          <w:szCs w:val="24"/>
        </w:rPr>
        <w:t xml:space="preserve">Technique explanations</w:t>
      </w:r>
      <w:bookmarkEnd w:id="23"/>
    </w:p>
    <w:p>
      <w:pPr>
        <w:spacing w:after="120" w:line="360"/>
        <w:jc w:val="both"/>
      </w:pPr>
      <w:r>
        <w:rPr>
          <w:rFonts w:ascii="Times New Roman" w:cs="Times New Roman" w:eastAsia="Times New Roman" w:hAnsi="Times New Roman"/>
          <w:b/>
          <w:bCs/>
          <w:sz w:val="24"/>
          <w:szCs w:val="24"/>
        </w:rPr>
        <w:t xml:space="preserve">Sentence embeddings &amp; cosine. </w:t>
      </w:r>
      <w:r>
        <w:rPr>
          <w:rFonts w:ascii="Times New Roman" w:cs="Times New Roman" w:eastAsia="Times New Roman" w:hAnsi="Times New Roman"/>
          <w:sz w:val="24"/>
          <w:szCs w:val="24"/>
        </w:rPr>
        <w:t xml:space="preserve">Sentence-BERT maps a sentence to a dense vector such that semantically similar sentences lie close under cosine similarity. We use it rather than lexical overlap because two correct answers can share meaning with few shared words. Known limitation: embeddings can rate fluent-but-wrong text as similar, which is why the similarity score is one input among three, not the decision.</w:t>
      </w:r>
    </w:p>
    <w:p>
      <w:pPr>
        <w:spacing w:after="120" w:line="360"/>
        <w:jc w:val="both"/>
      </w:pPr>
      <w:r>
        <w:rPr>
          <w:rFonts w:ascii="Times New Roman" w:cs="Times New Roman" w:eastAsia="Times New Roman" w:hAnsi="Times New Roman"/>
          <w:b/>
          <w:bCs/>
          <w:sz w:val="24"/>
          <w:szCs w:val="24"/>
        </w:rPr>
        <w:t xml:space="preserve">Fuzzy inference (Mamdani). </w:t>
      </w:r>
      <w:r>
        <w:rPr>
          <w:rFonts w:ascii="Times New Roman" w:cs="Times New Roman" w:eastAsia="Times New Roman" w:hAnsi="Times New Roman"/>
          <w:sz w:val="24"/>
          <w:szCs w:val="24"/>
        </w:rPr>
        <w:t xml:space="preserve">Each crisp input is mapped by membership functions to degrees of Low/Medium/High (Fig. 7.1). A rule base of IF–THEN statements fires; under Mamdani, a rule's firing strength is the minimum of its antecedent memberships (fuzzy AND), it clips its consequent set, clipped sets are aggregated by maximum, and the crisp grade is the centroid of the aggregate, y* = ∫yμ(y)dy / ∫μ(y)dy. We chose Mamdani over Sugeno because Mamdani consequents are linguistic sets (Poor/Average/Good/Excellent) that an examiner can read and edit, which matters more here than Sugeno's numerical efficiency. The membership-function shapes are trapezoidal at the extremes and triangular in the middle so that the ends saturate; parameters were set from the grading policy and checked by sensitivity analysis (§7).</w:t>
      </w:r>
    </w:p>
    <w:p>
      <w:pPr>
        <w:spacing w:after="120" w:line="360"/>
        <w:jc w:val="both"/>
      </w:pPr>
      <w:r>
        <w:rPr>
          <w:rFonts w:ascii="Times New Roman" w:cs="Times New Roman" w:eastAsia="Times New Roman" w:hAnsi="Times New Roman"/>
          <w:b/>
          <w:bCs/>
          <w:sz w:val="24"/>
          <w:szCs w:val="24"/>
        </w:rPr>
        <w:t xml:space="preserve">Neuro-symbolic integration. </w:t>
      </w:r>
      <w:r>
        <w:rPr>
          <w:rFonts w:ascii="Times New Roman" w:cs="Times New Roman" w:eastAsia="Times New Roman" w:hAnsi="Times New Roman"/>
          <w:sz w:val="24"/>
          <w:szCs w:val="24"/>
        </w:rPr>
        <w:t xml:space="preserve">The neural encoder is a bounded sensor; the symbolic rule base owns the decision. A fabricated or wrong module value cannot unilaterally move the mark because the grade is computed by explicit rules reading all inputs — the property that distinguishes this from a prompt-only ‘symbolic’ claim.</w:t>
      </w:r>
    </w:p>
    <w:p>
      <w:pPr>
        <w:pStyle w:val="Heading1"/>
        <w:keepNext/>
        <w:spacing w:after="140" w:before="280"/>
      </w:pPr>
      <w:bookmarkStart w:name="_Toc24" w:id="24"/>
      <w:r>
        <w:rPr>
          <w:rFonts w:ascii="Times New Roman" w:cs="Times New Roman" w:eastAsia="Times New Roman" w:hAnsi="Times New Roman"/>
          <w:b/>
          <w:bCs/>
          <w:color w:val="1F3864"/>
          <w:sz w:val="32"/>
          <w:szCs w:val="32"/>
        </w:rPr>
        <w:t xml:space="preserve">5. Methodology and Implementation</w:t>
      </w:r>
      <w:bookmarkEnd w:id="24"/>
    </w:p>
    <w:p>
      <w:pPr>
        <w:pStyle w:val="Heading2"/>
        <w:keepNext/>
        <w:spacing w:after="100" w:before="200"/>
      </w:pPr>
      <w:bookmarkStart w:name="_Toc25" w:id="25"/>
      <w:r>
        <w:rPr>
          <w:rFonts w:ascii="Times New Roman" w:cs="Times New Roman" w:eastAsia="Times New Roman" w:hAnsi="Times New Roman"/>
          <w:b/>
          <w:bCs/>
          <w:color w:val="2E4A7A"/>
          <w:sz w:val="28"/>
          <w:szCs w:val="28"/>
        </w:rPr>
        <w:t xml:space="preserve">5.1 Data</w:t>
      </w:r>
      <w:bookmarkEnd w:id="25"/>
    </w:p>
    <w:p>
      <w:pPr>
        <w:spacing w:after="160" w:before="60"/>
        <w:jc w:val="center"/>
      </w:pPr>
      <w:r>
        <w:rPr>
          <w:rFonts w:ascii="Times New Roman" w:cs="Times New Roman" w:eastAsia="Times New Roman" w:hAnsi="Times New Roman"/>
          <w:i/>
          <w:iCs/>
          <w:sz w:val="20"/>
          <w:szCs w:val="20"/>
        </w:rPr>
        <w:t xml:space="preserve">Table 5.1: Dataset description.</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600"/>
        <w:gridCol w:w="6426"/>
      </w:tblGrid>
      <w:tr>
        <w:trPr>
          <w:tblHeader/>
        </w:trPr>
        <w:tc>
          <w:tcPr>
            <w:tcW w:type="dxa" w:w="2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Attribute</w:t>
            </w:r>
          </w:p>
        </w:tc>
        <w:tc>
          <w:tcPr>
            <w:tcW w:type="dxa" w:w="64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Details</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Name and source</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Mohler (2011) UNT Computer Science Short Answer dataset [2] (ShortAnswerGrading v2.0)</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Licence and terms</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Publicly released for research by the University of North Texas (Mihalcea &amp; Mohler); cite [2]</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Size</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2,273 student answers; 79 questions; one instructor reference answer per question</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Collection method</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Public benchmark; real student answers from an introductory CS course, anonymised by the dataset authors</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Grades</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Average of two human annotators, 0–5 scale (mean 4.18); rescaled to 0–100 (mean 83.7)</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Train/val/test split</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Core grader is training-free (fixed rules) → primary metrics on full set; for calibration, a seeded 80/20 split (test n=455)</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Class balance</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Strongly skewed to high grades (mean 4.18/5) — noted as a limitation for RMSE</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Personal/sensitive data</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None; answers are anonymised, no student identifiers</w:t>
            </w:r>
          </w:p>
        </w:tc>
      </w:tr>
    </w:tbl>
    <w:p>
      <w:pPr>
        <w:pStyle w:val="Heading2"/>
        <w:keepNext/>
        <w:spacing w:after="100" w:before="200"/>
      </w:pPr>
      <w:bookmarkStart w:name="_Toc26" w:id="26"/>
      <w:r>
        <w:rPr>
          <w:rFonts w:ascii="Times New Roman" w:cs="Times New Roman" w:eastAsia="Times New Roman" w:hAnsi="Times New Roman"/>
          <w:b/>
          <w:bCs/>
          <w:color w:val="2E4A7A"/>
          <w:sz w:val="28"/>
          <w:szCs w:val="28"/>
        </w:rPr>
        <w:t xml:space="preserve">5.2 Preprocessing</w:t>
      </w:r>
      <w:bookmarkEnd w:id="26"/>
    </w:p>
    <w:p>
      <w:pPr>
        <w:spacing w:after="120" w:line="360"/>
        <w:jc w:val="both"/>
      </w:pPr>
      <w:r>
        <w:rPr>
          <w:rFonts w:ascii="Times New Roman" w:cs="Times New Roman" w:eastAsia="Times New Roman" w:hAnsi="Times New Roman"/>
          <w:sz w:val="24"/>
          <w:szCs w:val="24"/>
        </w:rPr>
        <w:t xml:space="preserve">Text is lowercased, contractions expanded, and punctuation/whitespace normalised (mirroring the parent paper's preprocessing). Normalisation is deterministic and leaves text human-readable. No augmentation or de-duplication is applied; because the grader is training-free there is no train/test leakage risk for the core system, and the calibration split is seeded and fixed before fitting.</w:t>
      </w:r>
    </w:p>
    <w:p>
      <w:pPr>
        <w:pStyle w:val="Heading2"/>
        <w:keepNext/>
        <w:spacing w:after="100" w:before="200"/>
      </w:pPr>
      <w:bookmarkStart w:name="_Toc27" w:id="27"/>
      <w:r>
        <w:rPr>
          <w:rFonts w:ascii="Times New Roman" w:cs="Times New Roman" w:eastAsia="Times New Roman" w:hAnsi="Times New Roman"/>
          <w:b/>
          <w:bCs/>
          <w:color w:val="2E4A7A"/>
          <w:sz w:val="28"/>
          <w:szCs w:val="28"/>
        </w:rPr>
        <w:t xml:space="preserve">5.3 Models Used</w:t>
      </w:r>
      <w:bookmarkEnd w:id="27"/>
    </w:p>
    <w:p>
      <w:pPr>
        <w:spacing w:after="160" w:before="60"/>
        <w:jc w:val="center"/>
      </w:pPr>
      <w:r>
        <w:rPr>
          <w:rFonts w:ascii="Times New Roman" w:cs="Times New Roman" w:eastAsia="Times New Roman" w:hAnsi="Times New Roman"/>
          <w:i/>
          <w:iCs/>
          <w:sz w:val="20"/>
          <w:szCs w:val="20"/>
        </w:rPr>
        <w:t xml:space="preserve">Table 5.2: Model inventory.</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1700"/>
        <w:gridCol w:w="2100"/>
        <w:gridCol w:w="1300"/>
        <w:gridCol w:w="900"/>
        <w:gridCol w:w="2126"/>
        <w:gridCol w:w="900"/>
      </w:tblGrid>
      <w:tr>
        <w:trPr>
          <w:tblHeader/>
        </w:trPr>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Model</w:t>
            </w:r>
          </w:p>
        </w:tc>
        <w:tc>
          <w:tcPr>
            <w:tcW w:type="dxa" w:w="21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Exact version</w:t>
            </w:r>
          </w:p>
        </w:tc>
        <w:tc>
          <w:tcPr>
            <w:tcW w:type="dxa" w:w="1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Open/closed</w:t>
            </w:r>
          </w:p>
        </w:tc>
        <w:tc>
          <w:tcPr>
            <w:tcW w:type="dxa" w:w="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Size</w:t>
            </w:r>
          </w:p>
        </w:tc>
        <w:tc>
          <w:tcPr>
            <w:tcW w:type="dxa" w:w="21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Role</w:t>
            </w:r>
          </w:p>
        </w:tc>
        <w:tc>
          <w:tcPr>
            <w:tcW w:type="dxa" w:w="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Access</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Sentence-BERT</w:t>
            </w:r>
          </w:p>
        </w:tc>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all-MiniLM-L6-v2</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Open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≈22M</w:t>
            </w:r>
          </w:p>
        </w:tc>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Semantic similarity (neural pathway)</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Local, offline</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spaCy</w:t>
            </w:r>
          </w:p>
        </w:tc>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en_core_web_sm 3.8</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Open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w:t>
            </w:r>
          </w:p>
        </w:tc>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Tokenisation, POS, NER</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Local, offline</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KeyBERT + YAKE</w:t>
            </w:r>
          </w:p>
        </w:tc>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keybert 0.8 / yake 0.4</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Open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w:t>
            </w:r>
          </w:p>
        </w:tc>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Keyword extraction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Local, offline</w:t>
            </w:r>
          </w:p>
        </w:tc>
      </w:tr>
      <w:tr>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WordNet (NLTK)</w:t>
            </w:r>
          </w:p>
        </w:tc>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wordnet 3.1</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Open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w:t>
            </w:r>
          </w:p>
        </w:tc>
        <w:tc>
          <w:tcPr>
            <w:tcW w:type="dxa" w:w="21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Synonym expansion</w:t>
            </w:r>
          </w:p>
        </w:tc>
        <w:tc>
          <w:tcPr>
            <w:tcW w:type="dxa" w:w="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Local, offline</w:t>
            </w:r>
          </w:p>
        </w:tc>
      </w:tr>
    </w:tbl>
    <w:p>
      <w:pPr>
        <w:spacing w:after="120" w:line="360"/>
        <w:jc w:val="both"/>
      </w:pPr>
      <w:r>
        <w:rPr>
          <w:rFonts w:ascii="Times New Roman" w:cs="Times New Roman" w:eastAsia="Times New Roman" w:hAnsi="Times New Roman"/>
          <w:sz w:val="24"/>
          <w:szCs w:val="24"/>
        </w:rPr>
        <w:t xml:space="preserve">No hosted/closed models and no API calls are used; all experiments ran on CPU in October 2026.</w:t>
      </w:r>
    </w:p>
    <w:p>
      <w:pPr>
        <w:pStyle w:val="Heading2"/>
        <w:keepNext/>
        <w:spacing w:after="100" w:before="200"/>
      </w:pPr>
      <w:bookmarkStart w:name="_Toc28" w:id="28"/>
      <w:r>
        <w:rPr>
          <w:rFonts w:ascii="Times New Roman" w:cs="Times New Roman" w:eastAsia="Times New Roman" w:hAnsi="Times New Roman"/>
          <w:b/>
          <w:bCs/>
          <w:color w:val="2E4A7A"/>
          <w:sz w:val="28"/>
          <w:szCs w:val="28"/>
        </w:rPr>
        <w:t xml:space="preserve">5.4 Prompting, Fine-tuning and Retrieval Configuration</w:t>
      </w:r>
      <w:bookmarkEnd w:id="28"/>
    </w:p>
    <w:p>
      <w:pPr>
        <w:spacing w:after="120" w:line="360"/>
        <w:jc w:val="both"/>
      </w:pPr>
      <w:r>
        <w:rPr>
          <w:rFonts w:ascii="Times New Roman" w:cs="Times New Roman" w:eastAsia="Times New Roman" w:hAnsi="Times New Roman"/>
          <w:sz w:val="24"/>
          <w:szCs w:val="24"/>
        </w:rPr>
        <w:t xml:space="preserve">Not applicable. The system uses no generative model, no prompting, no fine-tuning and no retrieval index. The ‘configuration’ that governs behaviour is the fuzzy membership functions and rule base (§4.5, §5.5), which are declarative and stored in the repository's config module.</w:t>
      </w:r>
    </w:p>
    <w:p>
      <w:pPr>
        <w:pStyle w:val="Heading2"/>
        <w:keepNext/>
        <w:spacing w:after="100" w:before="200"/>
      </w:pPr>
      <w:bookmarkStart w:name="_Toc29" w:id="29"/>
      <w:r>
        <w:rPr>
          <w:rFonts w:ascii="Times New Roman" w:cs="Times New Roman" w:eastAsia="Times New Roman" w:hAnsi="Times New Roman"/>
          <w:b/>
          <w:bCs/>
          <w:color w:val="2E4A7A"/>
          <w:sz w:val="28"/>
          <w:szCs w:val="28"/>
        </w:rPr>
        <w:t xml:space="preserve">5.5 Experimental Setup and Hyperparameters</w:t>
      </w:r>
      <w:bookmarkEnd w:id="29"/>
    </w:p>
    <w:p>
      <w:pPr>
        <w:spacing w:after="160" w:before="60"/>
        <w:jc w:val="center"/>
      </w:pPr>
      <w:r>
        <w:rPr>
          <w:rFonts w:ascii="Times New Roman" w:cs="Times New Roman" w:eastAsia="Times New Roman" w:hAnsi="Times New Roman"/>
          <w:i/>
          <w:iCs/>
          <w:sz w:val="20"/>
          <w:szCs w:val="20"/>
        </w:rPr>
        <w:t xml:space="preserve">Table 5.3: Settings and fuzzy parameters.</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400"/>
        <w:gridCol w:w="4426"/>
        <w:gridCol w:w="2200"/>
      </w:tblGrid>
      <w:tr>
        <w:trPr>
          <w:tblHeader/>
        </w:trPr>
        <w:tc>
          <w:tcPr>
            <w:tcW w:type="dxa" w:w="24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Parameter</w:t>
            </w:r>
          </w:p>
        </w:tc>
        <w:tc>
          <w:tcPr>
            <w:tcW w:type="dxa" w:w="44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Value(s)</w:t>
            </w:r>
          </w:p>
        </w:tc>
        <w:tc>
          <w:tcPr>
            <w:tcW w:type="dxa" w:w="22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How chosen</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Input membership functions (0–100)</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Low = trap(0,0,20,45); Medium = tri(30,50,70); High = trap(55,80,100,100)</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From grading policy; sensitivity-checked (§7.3)</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Output MFs (grade)</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Poor trap(0,0,15,35); Average tri(25,45,60); Good tri(50,65,80); Excellent trap(70,88,100,100)</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From grading policy</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Inference / defuzzification</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Mamdani (min/max) / centroid</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Readable linguistic consequents</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Rule base size</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strict = 8 rules; lenient = 5 rules</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Hand-authored from examiner policy</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Similarity sentence threshold</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0.75</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Adopted from parent paper [1]</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Mechanics penalty weight</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0.10</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Advisory only; never dominant</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Calibration</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affine (slope 0.405, intercept 59.74) fit on 80% train</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Least-squares on train split only</w:t>
            </w:r>
          </w:p>
        </w:tc>
      </w:tr>
      <w:tr>
        <w:tc>
          <w:tcPr>
            <w:tcW w:type="dxa" w:w="2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Seeds / runs</w:t>
            </w:r>
          </w:p>
        </w:tc>
        <w:tc>
          <w:tcPr>
            <w:tcW w:type="dxa" w:w="4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Deterministic (seed 42 for split, seed 7 for robustness sample)</w:t>
            </w:r>
          </w:p>
        </w:tc>
        <w:tc>
          <w:tcPr>
            <w:tcW w:type="dxa" w:w="2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Reproducibility</w:t>
            </w:r>
          </w:p>
        </w:tc>
      </w:tr>
    </w:tbl>
    <w:p>
      <w:pPr>
        <w:pStyle w:val="Heading2"/>
        <w:keepNext/>
        <w:spacing w:after="100" w:before="200"/>
      </w:pPr>
      <w:bookmarkStart w:name="_Toc30" w:id="30"/>
      <w:r>
        <w:rPr>
          <w:rFonts w:ascii="Times New Roman" w:cs="Times New Roman" w:eastAsia="Times New Roman" w:hAnsi="Times New Roman"/>
          <w:b/>
          <w:bCs/>
          <w:color w:val="2E4A7A"/>
          <w:sz w:val="28"/>
          <w:szCs w:val="28"/>
        </w:rPr>
        <w:t xml:space="preserve">5.6 Compute and Cost</w:t>
      </w:r>
      <w:bookmarkEnd w:id="30"/>
    </w:p>
    <w:p>
      <w:pPr>
        <w:spacing w:after="160" w:before="60"/>
        <w:jc w:val="center"/>
      </w:pPr>
      <w:r>
        <w:rPr>
          <w:rFonts w:ascii="Times New Roman" w:cs="Times New Roman" w:eastAsia="Times New Roman" w:hAnsi="Times New Roman"/>
          <w:i/>
          <w:iCs/>
          <w:sz w:val="20"/>
          <w:szCs w:val="20"/>
        </w:rPr>
        <w:t xml:space="preserve">Table 5.4: Compute and cost.</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600"/>
        <w:gridCol w:w="6426"/>
      </w:tblGrid>
      <w:tr>
        <w:trPr>
          <w:tblHeader/>
        </w:trPr>
        <w:tc>
          <w:tcPr>
            <w:tcW w:type="dxa" w:w="2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Item</w:t>
            </w:r>
          </w:p>
        </w:tc>
        <w:tc>
          <w:tcPr>
            <w:tcW w:type="dxa" w:w="64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Details</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Hardware</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Commodity CPU laptop (no GPU required), ≈4 GB RAM</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Training / indexing time</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None (training-free); one-time model download only</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Inference latency</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≈14 ms per answer (mean) with module caching; full 2,273-answer benchmark in ≈30 s</w:t>
            </w:r>
          </w:p>
        </w:tc>
      </w:tr>
      <w:tr>
        <w:tc>
          <w:tcPr>
            <w:tcW w:type="dxa" w:w="2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API tokens / cost</w:t>
            </w:r>
          </w:p>
        </w:tc>
        <w:tc>
          <w:tcPr>
            <w:tcW w:type="dxa" w:w="6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 / $0 — fully offline, no API</w:t>
            </w:r>
          </w:p>
        </w:tc>
      </w:tr>
    </w:tbl>
    <w:p>
      <w:pPr>
        <w:pStyle w:val="Heading2"/>
        <w:keepNext/>
        <w:spacing w:after="100" w:before="200"/>
      </w:pPr>
      <w:bookmarkStart w:name="_Toc31" w:id="31"/>
      <w:r>
        <w:rPr>
          <w:rFonts w:ascii="Times New Roman" w:cs="Times New Roman" w:eastAsia="Times New Roman" w:hAnsi="Times New Roman"/>
          <w:b/>
          <w:bCs/>
          <w:color w:val="2E4A7A"/>
          <w:sz w:val="28"/>
          <w:szCs w:val="28"/>
        </w:rPr>
        <w:t xml:space="preserve">5.7 Tools and Frameworks</w:t>
      </w:r>
      <w:bookmarkEnd w:id="31"/>
    </w:p>
    <w:p>
      <w:pPr>
        <w:spacing w:after="160" w:before="60"/>
        <w:jc w:val="center"/>
      </w:pPr>
      <w:r>
        <w:rPr>
          <w:rFonts w:ascii="Times New Roman" w:cs="Times New Roman" w:eastAsia="Times New Roman" w:hAnsi="Times New Roman"/>
          <w:i/>
          <w:iCs/>
          <w:sz w:val="20"/>
          <w:szCs w:val="20"/>
        </w:rPr>
        <w:t xml:space="preserve">Table 5.5: Tools used and justification.</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100"/>
        <w:gridCol w:w="1300"/>
        <w:gridCol w:w="2800"/>
        <w:gridCol w:w="2826"/>
      </w:tblGrid>
      <w:tr>
        <w:trPr>
          <w:tblHeader/>
        </w:trPr>
        <w:tc>
          <w:tcPr>
            <w:tcW w:type="dxa" w:w="21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Tool / library</w:t>
            </w:r>
          </w:p>
        </w:tc>
        <w:tc>
          <w:tcPr>
            <w:tcW w:type="dxa" w:w="1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Version</w:t>
            </w:r>
          </w:p>
        </w:tc>
        <w:tc>
          <w:tcPr>
            <w:tcW w:type="dxa" w:w="28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Purpose</w:t>
            </w:r>
          </w:p>
        </w:tc>
        <w:tc>
          <w:tcPr>
            <w:tcW w:type="dxa" w:w="28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Why chosen</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Python</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3.12</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Implementation</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Ecosystem for NLP</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sentence-transformers</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2.x</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SBERT embeddings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Standard, offline, fast</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spaCy</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3.8</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Parsing, NER</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Robust English pipeline</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YAKE / KeyBERT</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0.4 / 0.8</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Keyword extraction</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Matches parent paper</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NumPy / SciPy</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latest</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Fuzzy engine, metrics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Custom Mamdani with rule trace</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Streamlit</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1.x</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Demo UI</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Fast interactive scorecard</w:t>
            </w:r>
          </w:p>
        </w:tc>
      </w:tr>
      <w:tr>
        <w:tc>
          <w:tcPr>
            <w:tcW w:type="dxa" w:w="21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matplotlib</w:t>
            </w:r>
          </w:p>
        </w:tc>
        <w:tc>
          <w:tcPr>
            <w:tcW w:type="dxa" w:w="1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3.x</w:t>
            </w:r>
          </w:p>
        </w:tc>
        <w:tc>
          <w:tcPr>
            <w:tcW w:type="dxa" w:w="28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Figures / membership plots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Publication-quality plots</w:t>
            </w:r>
          </w:p>
        </w:tc>
      </w:tr>
    </w:tbl>
    <w:p>
      <w:pPr>
        <w:pStyle w:val="Heading2"/>
        <w:keepNext/>
        <w:spacing w:after="100" w:before="200"/>
      </w:pPr>
      <w:bookmarkStart w:name="_Toc32" w:id="32"/>
      <w:r>
        <w:rPr>
          <w:rFonts w:ascii="Times New Roman" w:cs="Times New Roman" w:eastAsia="Times New Roman" w:hAnsi="Times New Roman"/>
          <w:b/>
          <w:bCs/>
          <w:color w:val="2E4A7A"/>
          <w:sz w:val="28"/>
          <w:szCs w:val="28"/>
        </w:rPr>
        <w:t xml:space="preserve">5.8 Implementation, Screenshots and Demo</w:t>
      </w:r>
      <w:bookmarkEnd w:id="32"/>
    </w:p>
    <w:p>
      <w:pPr>
        <w:spacing w:after="120" w:line="360"/>
        <w:jc w:val="both"/>
      </w:pPr>
      <w:r>
        <w:rPr>
          <w:rFonts w:ascii="Times New Roman" w:cs="Times New Roman" w:eastAsia="Times New Roman" w:hAnsi="Times New Roman"/>
          <w:b/>
          <w:bCs/>
          <w:sz w:val="24"/>
          <w:szCs w:val="24"/>
        </w:rPr>
        <w:t xml:space="preserve">GitHub repository (mandatory): </w:t>
      </w:r>
      <w:r>
        <w:rPr>
          <w:rFonts w:ascii="Times New Roman" w:cs="Times New Roman" w:eastAsia="Times New Roman" w:hAnsi="Times New Roman"/>
          <w:b/>
          <w:bCs/>
          <w:color w:val="B00000"/>
          <w:sz w:val="24"/>
          <w:szCs w:val="24"/>
        </w:rPr>
        <w:t xml:space="preserve"> [INSERT REPOSITORY URL]</w:t>
      </w:r>
      <w:r>
        <w:rPr>
          <w:rFonts w:ascii="Times New Roman" w:cs="Times New Roman" w:eastAsia="Times New Roman" w:hAnsi="Times New Roman"/>
          <w:b/>
          <w:bCs/>
          <w:sz w:val="24"/>
          <w:szCs w:val="24"/>
        </w:rPr>
        <w:t xml:space="preserve">     Demo video (mandatory): </w:t>
      </w:r>
      <w:r>
        <w:rPr>
          <w:rFonts w:ascii="Times New Roman" w:cs="Times New Roman" w:eastAsia="Times New Roman" w:hAnsi="Times New Roman"/>
          <w:b/>
          <w:bCs/>
          <w:color w:val="B00000"/>
          <w:sz w:val="24"/>
          <w:szCs w:val="24"/>
        </w:rPr>
        <w:t xml:space="preserve"> [INSERT 3–5 MIN VIDEO URL]</w:t>
      </w:r>
    </w:p>
    <w:p>
      <w:pPr>
        <w:spacing w:after="120" w:line="360"/>
        <w:jc w:val="both"/>
      </w:pPr>
      <w:r>
        <w:rPr>
          <w:rFonts w:ascii="Times New Roman" w:cs="Times New Roman" w:eastAsia="Times New Roman" w:hAnsi="Times New Roman"/>
          <w:sz w:val="24"/>
          <w:szCs w:val="24"/>
        </w:rPr>
        <w:t xml:space="preserve">The repository contains the full pipeline (src/), the Streamlit app (app/), evaluation scripts (eval/), unit tests (tests/), and a README with a one-command reproduction of the main results table (python -m eval.benchmark). A worked scorecard produced by the live system is shown in Fig. 7.2.</w:t>
      </w:r>
    </w:p>
    <w:p>
      <w:pPr>
        <w:pStyle w:val="Heading1"/>
        <w:keepNext/>
        <w:spacing w:after="140" w:before="280"/>
      </w:pPr>
      <w:bookmarkStart w:name="_Toc33" w:id="33"/>
      <w:r>
        <w:rPr>
          <w:rFonts w:ascii="Times New Roman" w:cs="Times New Roman" w:eastAsia="Times New Roman" w:hAnsi="Times New Roman"/>
          <w:b/>
          <w:bCs/>
          <w:color w:val="1F3864"/>
          <w:sz w:val="32"/>
          <w:szCs w:val="32"/>
        </w:rPr>
        <w:t xml:space="preserve">6. Evaluation Protocol</w:t>
      </w:r>
      <w:bookmarkEnd w:id="33"/>
    </w:p>
    <w:p>
      <w:pPr>
        <w:pStyle w:val="Heading2"/>
        <w:keepNext/>
        <w:spacing w:after="100" w:before="200"/>
      </w:pPr>
      <w:bookmarkStart w:name="_Toc34" w:id="34"/>
      <w:r>
        <w:rPr>
          <w:rFonts w:ascii="Times New Roman" w:cs="Times New Roman" w:eastAsia="Times New Roman" w:hAnsi="Times New Roman"/>
          <w:b/>
          <w:bCs/>
          <w:color w:val="2E4A7A"/>
          <w:sz w:val="28"/>
          <w:szCs w:val="28"/>
        </w:rPr>
        <w:t xml:space="preserve">6.1 Evaluation Data and Split Hygiene</w:t>
      </w:r>
      <w:bookmarkEnd w:id="34"/>
    </w:p>
    <w:p>
      <w:pPr>
        <w:spacing w:after="120" w:line="360"/>
        <w:jc w:val="both"/>
      </w:pPr>
      <w:r>
        <w:rPr>
          <w:rFonts w:ascii="Times New Roman" w:cs="Times New Roman" w:eastAsia="Times New Roman" w:hAnsi="Times New Roman"/>
          <w:sz w:val="24"/>
          <w:szCs w:val="24"/>
        </w:rPr>
        <w:t xml:space="preserve">Evaluation uses the full Mohler corpus (2,273 answers). The core grader has no trained parameters, so it is evaluated on the entire set without leakage. For the optional affine calibration only, we fix a seeded 80/20 split before fitting and report calibration metrics on the untouched 20% test partition (n=455). Robustness uses a separate seeded random sample of 400 answers.</w:t>
      </w:r>
    </w:p>
    <w:p>
      <w:pPr>
        <w:pStyle w:val="Heading2"/>
        <w:keepNext/>
        <w:spacing w:after="100" w:before="200"/>
      </w:pPr>
      <w:bookmarkStart w:name="_Toc35" w:id="35"/>
      <w:r>
        <w:rPr>
          <w:rFonts w:ascii="Times New Roman" w:cs="Times New Roman" w:eastAsia="Times New Roman" w:hAnsi="Times New Roman"/>
          <w:b/>
          <w:bCs/>
          <w:color w:val="2E4A7A"/>
          <w:sz w:val="28"/>
          <w:szCs w:val="28"/>
        </w:rPr>
        <w:t xml:space="preserve">6.2 Metrics</w:t>
      </w:r>
      <w:bookmarkEnd w:id="35"/>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Quadratic Weighted Kappa (QWK): </w:t>
      </w:r>
      <w:r>
        <w:rPr>
          <w:rFonts w:ascii="Times New Roman" w:cs="Times New Roman" w:eastAsia="Times New Roman" w:hAnsi="Times New Roman"/>
          <w:sz w:val="24"/>
          <w:szCs w:val="24"/>
        </w:rPr>
        <w:t xml:space="preserve">agreement between system and human grades on ordinal bins, penalising larger disagreements quadratically; the standard AES metric and the Track-E recommended agreement measure for grading.</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Pearson correlation r: </w:t>
      </w:r>
      <w:r>
        <w:rPr>
          <w:rFonts w:ascii="Times New Roman" w:cs="Times New Roman" w:eastAsia="Times New Roman" w:hAnsi="Times New Roman"/>
          <w:sz w:val="24"/>
          <w:szCs w:val="24"/>
        </w:rPr>
        <w:t xml:space="preserve">linear agreement with human grades; invariant to affine rescaling, so it isolates ranking quality from calibration.</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RMSE: </w:t>
      </w:r>
      <w:r>
        <w:rPr>
          <w:rFonts w:ascii="Times New Roman" w:cs="Times New Roman" w:eastAsia="Times New Roman" w:hAnsi="Times New Roman"/>
          <w:sz w:val="24"/>
          <w:szCs w:val="24"/>
        </w:rPr>
        <w:t xml:space="preserve">root-mean-square error on the 0–100 scale; comparable in spirit to the parent paper's regression error.</w:t>
      </w:r>
    </w:p>
    <w:p>
      <w:pPr>
        <w:pStyle w:val="ListParagraph"/>
        <w:numPr>
          <w:ilvl w:val="0"/>
          <w:numId w:val="1"/>
        </w:numPr>
        <w:spacing w:after="60" w:line="360"/>
        <w:jc w:val="both"/>
      </w:pPr>
      <w:r>
        <w:rPr>
          <w:rFonts w:ascii="Times New Roman" w:cs="Times New Roman" w:eastAsia="Times New Roman" w:hAnsi="Times New Roman"/>
          <w:b/>
          <w:bCs/>
          <w:sz w:val="24"/>
          <w:szCs w:val="24"/>
        </w:rPr>
        <w:t xml:space="preserve">Robustness: </w:t>
      </w:r>
      <w:r>
        <w:rPr>
          <w:rFonts w:ascii="Times New Roman" w:cs="Times New Roman" w:eastAsia="Times New Roman" w:hAnsi="Times New Roman"/>
          <w:sz w:val="24"/>
          <w:szCs w:val="24"/>
        </w:rPr>
        <w:t xml:space="preserve">mean absolute grade drift under paraphrase; mean grade change under padding.</w:t>
      </w:r>
    </w:p>
    <w:p>
      <w:pPr>
        <w:pStyle w:val="Heading2"/>
        <w:keepNext/>
        <w:spacing w:after="100" w:before="200"/>
      </w:pPr>
      <w:bookmarkStart w:name="_Toc36" w:id="36"/>
      <w:r>
        <w:rPr>
          <w:rFonts w:ascii="Times New Roman" w:cs="Times New Roman" w:eastAsia="Times New Roman" w:hAnsi="Times New Roman"/>
          <w:b/>
          <w:bCs/>
          <w:color w:val="2E4A7A"/>
          <w:sz w:val="28"/>
          <w:szCs w:val="28"/>
        </w:rPr>
        <w:t xml:space="preserve">6.3 Baselines</w:t>
      </w:r>
      <w:bookmarkEnd w:id="36"/>
    </w:p>
    <w:p>
      <w:pPr>
        <w:spacing w:after="120" w:line="360"/>
        <w:jc w:val="both"/>
      </w:pPr>
      <w:r>
        <w:rPr>
          <w:rFonts w:ascii="Times New Roman" w:cs="Times New Roman" w:eastAsia="Times New Roman" w:hAnsi="Times New Roman"/>
          <w:sz w:val="24"/>
          <w:szCs w:val="24"/>
        </w:rPr>
        <w:t xml:space="preserve">Following Track E (purely neural vs purely symbolic vs hybrid), we compare against: (i) a naive mean-baseline (predict the mean human grade); (ii) a purely neural baseline — the SBERT similarity module alone; (iii) purely symbolic baselines — keyword-only and NER-only; and (iv) the strong baseline — mean-of-modules, a linear average of the same three signals, which isolates the contribution of the fuzzy rule base over simple linear fusion.</w:t>
      </w:r>
    </w:p>
    <w:p>
      <w:pPr>
        <w:pStyle w:val="Heading2"/>
        <w:keepNext/>
        <w:spacing w:after="100" w:before="200"/>
      </w:pPr>
      <w:bookmarkStart w:name="_Toc37" w:id="37"/>
      <w:r>
        <w:rPr>
          <w:rFonts w:ascii="Times New Roman" w:cs="Times New Roman" w:eastAsia="Times New Roman" w:hAnsi="Times New Roman"/>
          <w:b/>
          <w:bCs/>
          <w:color w:val="2E4A7A"/>
          <w:sz w:val="28"/>
          <w:szCs w:val="28"/>
        </w:rPr>
        <w:t xml:space="preserve">6.4 Human Evaluation and LLM-as-a-Judge</w:t>
      </w:r>
      <w:bookmarkEnd w:id="37"/>
    </w:p>
    <w:p>
      <w:pPr>
        <w:spacing w:after="120" w:line="360"/>
        <w:jc w:val="both"/>
      </w:pPr>
      <w:r>
        <w:rPr>
          <w:rFonts w:ascii="Times New Roman" w:cs="Times New Roman" w:eastAsia="Times New Roman" w:hAnsi="Times New Roman"/>
          <w:sz w:val="24"/>
          <w:szCs w:val="24"/>
        </w:rPr>
        <w:t xml:space="preserve">No LLM-as-a-judge is used. Ground-truth grades are the Mohler dataset's human annotations (two annotators per answer, averaged), so all agreement metrics are computed against real human judgement.</w:t>
      </w:r>
    </w:p>
    <w:p>
      <w:pPr>
        <w:pStyle w:val="Heading2"/>
        <w:keepNext/>
        <w:spacing w:after="100" w:before="200"/>
      </w:pPr>
      <w:bookmarkStart w:name="_Toc38" w:id="38"/>
      <w:r>
        <w:rPr>
          <w:rFonts w:ascii="Times New Roman" w:cs="Times New Roman" w:eastAsia="Times New Roman" w:hAnsi="Times New Roman"/>
          <w:b/>
          <w:bCs/>
          <w:color w:val="2E4A7A"/>
          <w:sz w:val="28"/>
          <w:szCs w:val="28"/>
        </w:rPr>
        <w:t xml:space="preserve">6.5 Statistical Analysis</w:t>
      </w:r>
      <w:bookmarkEnd w:id="38"/>
    </w:p>
    <w:p>
      <w:pPr>
        <w:spacing w:after="120" w:line="360"/>
        <w:jc w:val="both"/>
      </w:pPr>
      <w:r>
        <w:rPr>
          <w:rFonts w:ascii="Times New Roman" w:cs="Times New Roman" w:eastAsia="Times New Roman" w:hAnsi="Times New Roman"/>
          <w:sz w:val="24"/>
          <w:szCs w:val="24"/>
        </w:rPr>
        <w:t xml:space="preserve">The grader is deterministic (no sampling), so repeated runs give identical scores; variance is not from stochastic inference but from the data. We report metrics over the full corpus and, for calibration, on a held-out split. Robustness is summarised by mean and maximum drift over 400 samples. Suggested extension (noted in §7.6): paired bootstrap 95% confidence intervals on the QWK difference between the fuzzy system and the linear baseline.</w:t>
      </w:r>
    </w:p>
    <w:p>
      <w:pPr>
        <w:pStyle w:val="Heading1"/>
        <w:keepNext/>
        <w:spacing w:after="140" w:before="280"/>
      </w:pPr>
      <w:bookmarkStart w:name="_Toc39" w:id="39"/>
      <w:r>
        <w:rPr>
          <w:rFonts w:ascii="Times New Roman" w:cs="Times New Roman" w:eastAsia="Times New Roman" w:hAnsi="Times New Roman"/>
          <w:b/>
          <w:bCs/>
          <w:color w:val="1F3864"/>
          <w:sz w:val="32"/>
          <w:szCs w:val="32"/>
        </w:rPr>
        <w:t xml:space="preserve">7. Results and Discussion</w:t>
      </w:r>
      <w:bookmarkEnd w:id="39"/>
    </w:p>
    <w:p>
      <w:pPr>
        <w:pStyle w:val="Heading2"/>
        <w:keepNext/>
        <w:spacing w:after="100" w:before="200"/>
      </w:pPr>
      <w:bookmarkStart w:name="_Toc40" w:id="40"/>
      <w:r>
        <w:rPr>
          <w:rFonts w:ascii="Times New Roman" w:cs="Times New Roman" w:eastAsia="Times New Roman" w:hAnsi="Times New Roman"/>
          <w:b/>
          <w:bCs/>
          <w:color w:val="2E4A7A"/>
          <w:sz w:val="28"/>
          <w:szCs w:val="28"/>
        </w:rPr>
        <w:t xml:space="preserve">7.1 Main Results</w:t>
      </w:r>
      <w:bookmarkEnd w:id="40"/>
    </w:p>
    <w:p>
      <w:pPr>
        <w:spacing w:after="160" w:before="60"/>
        <w:jc w:val="center"/>
      </w:pPr>
      <w:r>
        <w:rPr>
          <w:rFonts w:ascii="Times New Roman" w:cs="Times New Roman" w:eastAsia="Times New Roman" w:hAnsi="Times New Roman"/>
          <w:i/>
          <w:iCs/>
          <w:sz w:val="20"/>
          <w:szCs w:val="20"/>
        </w:rPr>
        <w:t xml:space="preserve">Table 7.1: Main results on the Mohler corpus (2,273 answers, full set). Best QWK in bold.</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3600"/>
        <w:gridCol w:w="1842"/>
        <w:gridCol w:w="1792"/>
        <w:gridCol w:w="1792"/>
      </w:tblGrid>
      <w:tr>
        <w:trPr>
          <w:tblHeader/>
        </w:trPr>
        <w:tc>
          <w:tcPr>
            <w:tcW w:type="dxa" w:w="3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Method</w:t>
            </w:r>
          </w:p>
        </w:tc>
        <w:tc>
          <w:tcPr>
            <w:tcW w:type="dxa" w:w="1842"/>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RMSE (0–100)</w:t>
            </w:r>
          </w:p>
        </w:tc>
        <w:tc>
          <w:tcPr>
            <w:tcW w:type="dxa" w:w="1792"/>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Pearson r</w:t>
            </w:r>
          </w:p>
        </w:tc>
        <w:tc>
          <w:tcPr>
            <w:tcW w:type="dxa" w:w="1792"/>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QWK</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mean-baseline (naive)</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21.93</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0.000</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0.000</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keyword-only (symbolic)</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51.91</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0.469</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0.177</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similarity-only (neural baseline)</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34.88</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0.496</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0.264</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ner-only (symbolic)</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42.45</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0.068</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0.063</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mean-of-modules (linear, strong baseline)</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33.10</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0.442</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0.253</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full-fuzzy (strict policy)</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50.54</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0.457</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0.159</w:t>
            </w:r>
          </w:p>
        </w:tc>
      </w:tr>
      <w:tr>
        <w:tc>
          <w:tcPr>
            <w:tcW w:type="dxa" w:w="3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full-fuzzy (lenient policy) — OURS</w:t>
            </w:r>
          </w:p>
        </w:tc>
        <w:tc>
          <w:tcPr>
            <w:tcW w:type="dxa" w:w="184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34.17</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0.480</w:t>
            </w:r>
          </w:p>
        </w:tc>
        <w:tc>
          <w:tcPr>
            <w:tcW w:type="dxa" w:w="1792"/>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0.312</w:t>
            </w:r>
          </w:p>
        </w:tc>
      </w:tr>
    </w:tbl>
    <w:p>
      <w:pPr>
        <w:spacing w:after="120" w:line="360"/>
        <w:jc w:val="both"/>
      </w:pPr>
      <w:r>
        <w:rPr>
          <w:rFonts w:ascii="Times New Roman" w:cs="Times New Roman" w:eastAsia="Times New Roman" w:hAnsi="Times New Roman"/>
          <w:sz w:val="24"/>
          <w:szCs w:val="24"/>
        </w:rPr>
        <w:t xml:space="preserve">The lenient fuzzy combiner attains the highest QWK of any configuration (0.312), exceeding the best single module (similarity, 0.264) and the linear average of the same three signals (mean-of-modules, 0.253). This answers RQ2: fusing the three scores through an explicit rule base ranks answers in closer ordinal agreement with human examiners than any single module or their plain average. Pearson is competitive with the strongest module (0.48 vs 0.50). The strict policy under-grades on this leniently annotated corpus — demonstrating that the policy is meant to be matched to the examiner, which requires no retraining, only a different rule set.</w:t>
      </w:r>
    </w:p>
    <w:p>
      <w:pPr>
        <w:spacing w:after="120" w:line="360"/>
        <w:jc w:val="both"/>
      </w:pPr>
      <w:r>
        <w:rPr>
          <w:rFonts w:ascii="Times New Roman" w:cs="Times New Roman" w:eastAsia="Times New Roman" w:hAnsi="Times New Roman"/>
          <w:b/>
          <w:bCs/>
          <w:sz w:val="24"/>
          <w:szCs w:val="24"/>
        </w:rPr>
        <w:t xml:space="preserve">Calibration (RMSE). </w:t>
      </w:r>
      <w:r>
        <w:rPr>
          <w:rFonts w:ascii="Times New Roman" w:cs="Times New Roman" w:eastAsia="Times New Roman" w:hAnsi="Times New Roman"/>
          <w:sz w:val="24"/>
          <w:szCs w:val="24"/>
        </w:rPr>
        <w:t xml:space="preserve">Centroid defuzzification compresses the output range, so raw grades sit below a corpus whose human mean is 83.7; RMSE therefore favours the constant mean-baseline. Fitting a single affine map on 80% train and evaluating on the held-out 20% reduces test RMSE from 33.34 to 19.92 — below the mean-baseline (21.93) — and raises test QWK from 0.330 to 0.376, with Pearson unchanged at 0.478 (affine-invariant). This answers RQ3's accuracy aspect: competitive error with a transparent one-step rescaling, no network training.</w:t>
      </w:r>
    </w:p>
    <w:p>
      <w:pPr>
        <w:spacing w:after="160" w:before="60"/>
        <w:jc w:val="center"/>
      </w:pPr>
      <w:r>
        <w:rPr>
          <w:rFonts w:ascii="Times New Roman" w:cs="Times New Roman" w:eastAsia="Times New Roman" w:hAnsi="Times New Roman"/>
          <w:i/>
          <w:iCs/>
          <w:sz w:val="20"/>
          <w:szCs w:val="20"/>
        </w:rPr>
        <w:t xml:space="preserve">Table 7.2: Robustness (random sample of 400 answers).</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3400"/>
        <w:gridCol w:w="2000"/>
        <w:gridCol w:w="3626"/>
      </w:tblGrid>
      <w:tr>
        <w:trPr>
          <w:tblHeader/>
        </w:trPr>
        <w:tc>
          <w:tcPr>
            <w:tcW w:type="dxa" w:w="34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Test</w:t>
            </w:r>
          </w:p>
        </w:tc>
        <w:tc>
          <w:tcPr>
            <w:tcW w:type="dxa" w:w="20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Result</w:t>
            </w:r>
          </w:p>
        </w:tc>
        <w:tc>
          <w:tcPr>
            <w:tcW w:type="dxa" w:w="36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Interpretation</w:t>
            </w:r>
          </w:p>
        </w:tc>
      </w:tr>
      <w:tr>
        <w:tc>
          <w:tcPr>
            <w:tcW w:type="dxa" w:w="3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Paraphrase: mean abs. grade drift</w:t>
            </w:r>
          </w:p>
        </w:tc>
        <w:tc>
          <w:tcPr>
            <w:tcW w:type="dxa" w:w="20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0.72 pts</w:t>
            </w:r>
          </w:p>
        </w:tc>
        <w:tc>
          <w:tcPr>
            <w:tcW w:type="dxa" w:w="36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Very stable under synonym substitution</w:t>
            </w:r>
          </w:p>
        </w:tc>
      </w:tr>
      <w:tr>
        <w:tc>
          <w:tcPr>
            <w:tcW w:type="dxa" w:w="3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Padding: mean grade change</w:t>
            </w:r>
          </w:p>
        </w:tc>
        <w:tc>
          <w:tcPr>
            <w:tcW w:type="dxa" w:w="20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−1.09 pts</w:t>
            </w:r>
          </w:p>
        </w:tc>
        <w:tc>
          <w:tcPr>
            <w:tcW w:type="dxa" w:w="36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Filler does not raise grades — resists length-gaming</w:t>
            </w:r>
          </w:p>
        </w:tc>
      </w:tr>
    </w:tbl>
    <w:p>
      <w:pPr>
        <w:pStyle w:val="Heading2"/>
        <w:keepNext/>
        <w:spacing w:after="100" w:before="200"/>
      </w:pPr>
      <w:bookmarkStart w:name="_Toc41" w:id="41"/>
      <w:r>
        <w:rPr>
          <w:rFonts w:ascii="Times New Roman" w:cs="Times New Roman" w:eastAsia="Times New Roman" w:hAnsi="Times New Roman"/>
          <w:b/>
          <w:bCs/>
          <w:color w:val="2E4A7A"/>
          <w:sz w:val="28"/>
          <w:szCs w:val="28"/>
        </w:rPr>
        <w:t xml:space="preserve">7.2 Comparative Analysis</w:t>
      </w:r>
      <w:bookmarkEnd w:id="41"/>
    </w:p>
    <w:p>
      <w:pPr>
        <w:spacing w:after="120" w:line="360"/>
        <w:jc w:val="both"/>
      </w:pPr>
      <w:r>
        <w:rPr>
          <w:rFonts w:ascii="Times New Roman" w:cs="Times New Roman" w:eastAsia="Times New Roman" w:hAnsi="Times New Roman"/>
          <w:sz w:val="24"/>
          <w:szCs w:val="24"/>
        </w:rPr>
        <w:t xml:space="preserve">Against the parent paper [1], which reports a very low trained-DNN RMSE on its own ~190-answer corpus, our training-free system is not directly comparable on RMSE (different data; no fitting to grades). The fair comparison is within our corpus: our fuzzy combiner beats both the neural-only and symbolic-only baselines on QWK, and beats linear fusion of the identical signals. Against unsupervised Mohler baselines [2] (Pearson ≈ 0.46–0.52), our Pearson of 0.48 is in range while additionally providing a full justification and stability guarantees that [1], [2] do not offer.</w:t>
      </w:r>
    </w:p>
    <w:p>
      <w:pPr>
        <w:pStyle w:val="Heading2"/>
        <w:keepNext/>
        <w:spacing w:after="100" w:before="200"/>
      </w:pPr>
      <w:bookmarkStart w:name="_Toc42" w:id="42"/>
      <w:r>
        <w:rPr>
          <w:rFonts w:ascii="Times New Roman" w:cs="Times New Roman" w:eastAsia="Times New Roman" w:hAnsi="Times New Roman"/>
          <w:b/>
          <w:bCs/>
          <w:color w:val="2E4A7A"/>
          <w:sz w:val="28"/>
          <w:szCs w:val="28"/>
        </w:rPr>
        <w:t xml:space="preserve">7.3 Ablation Study</w:t>
      </w:r>
      <w:bookmarkEnd w:id="42"/>
    </w:p>
    <w:p>
      <w:pPr>
        <w:spacing w:after="160" w:before="60"/>
        <w:jc w:val="center"/>
      </w:pPr>
      <w:r>
        <w:rPr>
          <w:rFonts w:ascii="Times New Roman" w:cs="Times New Roman" w:eastAsia="Times New Roman" w:hAnsi="Times New Roman"/>
          <w:i/>
          <w:iCs/>
          <w:sz w:val="20"/>
          <w:szCs w:val="20"/>
        </w:rPr>
        <w:t xml:space="preserve">Table 7.3: Ablation — effect of each component (QWK, full set).</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4200"/>
        <w:gridCol w:w="1600"/>
        <w:gridCol w:w="3226"/>
      </w:tblGrid>
      <w:tr>
        <w:trPr>
          <w:tblHeader/>
        </w:trPr>
        <w:tc>
          <w:tcPr>
            <w:tcW w:type="dxa" w:w="42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Configuration</w:t>
            </w:r>
          </w:p>
        </w:tc>
        <w:tc>
          <w:tcPr>
            <w:tcW w:type="dxa" w:w="1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QWK</w:t>
            </w:r>
          </w:p>
        </w:tc>
        <w:tc>
          <w:tcPr>
            <w:tcW w:type="dxa" w:w="32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9"/>
                <w:szCs w:val="19"/>
              </w:rPr>
              <w:t xml:space="preserve">Change vs full system</w:t>
            </w:r>
          </w:p>
        </w:tc>
      </w:tr>
      <w:tr>
        <w:tc>
          <w:tcPr>
            <w:tcW w:type="dxa" w:w="4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Full system (lenient fuzzy)</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0.312</w:t>
            </w:r>
          </w:p>
        </w:tc>
        <w:tc>
          <w:tcPr>
            <w:tcW w:type="dxa" w:w="3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w:t>
            </w:r>
          </w:p>
        </w:tc>
      </w:tr>
      <w:tr>
        <w:tc>
          <w:tcPr>
            <w:tcW w:type="dxa" w:w="4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 fuzzy layer (use linear mean of modules)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0.253</w:t>
            </w:r>
          </w:p>
        </w:tc>
        <w:tc>
          <w:tcPr>
            <w:tcW w:type="dxa" w:w="3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−0.059</w:t>
            </w:r>
          </w:p>
        </w:tc>
      </w:tr>
      <w:tr>
        <w:tc>
          <w:tcPr>
            <w:tcW w:type="dxa" w:w="4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 similarity module (neural)</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0.177</w:t>
            </w:r>
          </w:p>
        </w:tc>
        <w:tc>
          <w:tcPr>
            <w:tcW w:type="dxa" w:w="3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−0.135 (keyword-only)</w:t>
            </w:r>
          </w:p>
        </w:tc>
      </w:tr>
      <w:tr>
        <w:tc>
          <w:tcPr>
            <w:tcW w:type="dxa" w:w="4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 keyword &amp; NER (similarity only)</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0.264</w:t>
            </w:r>
          </w:p>
        </w:tc>
        <w:tc>
          <w:tcPr>
            <w:tcW w:type="dxa" w:w="3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−0.048</w:t>
            </w:r>
          </w:p>
        </w:tc>
      </w:tr>
      <w:tr>
        <w:tc>
          <w:tcPr>
            <w:tcW w:type="dxa" w:w="42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strict instead of lenient policy</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0.159</w:t>
            </w:r>
          </w:p>
        </w:tc>
        <w:tc>
          <w:tcPr>
            <w:tcW w:type="dxa" w:w="32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9"/>
                <w:szCs w:val="19"/>
              </w:rPr>
              <w:t xml:space="preserve">−0.153 (policy mismatch)</w:t>
            </w:r>
          </w:p>
        </w:tc>
      </w:tr>
    </w:tbl>
    <w:p>
      <w:pPr>
        <w:spacing w:after="120" w:line="360"/>
        <w:jc w:val="both"/>
      </w:pPr>
      <w:r>
        <w:rPr>
          <w:rFonts w:ascii="Times New Roman" w:cs="Times New Roman" w:eastAsia="Times New Roman" w:hAnsi="Times New Roman"/>
          <w:sz w:val="24"/>
          <w:szCs w:val="24"/>
        </w:rPr>
        <w:t xml:space="preserve">Removing the fuzzy layer (replacing it with a linear average of the same three scores) drops QWK from 0.312 to 0.253 — the clearest evidence that the rule base, not merely the three signals, drives the agreement gain. Policy choice matters most: a mismatched strict policy costs 0.153 QWK, confirming the design intent that the examiner selects the policy. A sensitivity check widening/narrowing the Medium membness function by ±10 points changed QWK by &lt; 0.02, indicating the result is not an artefact of a single arbitrary parameter.</w:t>
      </w:r>
    </w:p>
    <w:p>
      <w:pPr>
        <w:pStyle w:val="Heading2"/>
        <w:keepNext/>
        <w:spacing w:after="100" w:before="200"/>
      </w:pPr>
      <w:bookmarkStart w:name="_Toc43" w:id="43"/>
      <w:r>
        <w:rPr>
          <w:rFonts w:ascii="Times New Roman" w:cs="Times New Roman" w:eastAsia="Times New Roman" w:hAnsi="Times New Roman"/>
          <w:b/>
          <w:bCs/>
          <w:color w:val="2E4A7A"/>
          <w:sz w:val="28"/>
          <w:szCs w:val="28"/>
        </w:rPr>
        <w:t xml:space="preserve">7.4 Error Analysis</w:t>
      </w:r>
      <w:bookmarkEnd w:id="43"/>
    </w:p>
    <w:p>
      <w:pPr>
        <w:spacing w:after="120" w:line="360"/>
        <w:jc w:val="both"/>
      </w:pPr>
      <w:r>
        <w:rPr>
          <w:rFonts w:ascii="Times New Roman" w:cs="Times New Roman" w:eastAsia="Times New Roman" w:hAnsi="Times New Roman"/>
          <w:sz w:val="24"/>
          <w:szCs w:val="24"/>
        </w:rPr>
        <w:t xml:space="preserve">Representative failure modes (full traces in the repository):</w:t>
      </w:r>
    </w:p>
    <w:p>
      <w:pPr>
        <w:pStyle w:val="ListParagraph"/>
        <w:numPr>
          <w:ilvl w:val="0"/>
          <w:numId w:val="1"/>
        </w:numPr>
        <w:spacing w:after="60" w:line="360"/>
        <w:jc w:val="both"/>
      </w:pPr>
      <w:r>
        <w:rPr>
          <w:rFonts w:ascii="Times New Roman" w:cs="Times New Roman" w:eastAsia="Times New Roman" w:hAnsi="Times New Roman"/>
          <w:sz w:val="24"/>
          <w:szCs w:val="24"/>
        </w:rPr>
        <w:t xml:space="preserve">(1) Correct paraphrase, low NER: an answer semantically correct but lacking the reference's named entities scores NER = 0; the fuzzy layer absorbs it (grade stays high) — a success of symbolic control, but it means NER is near-uninformative on this corpus (r = 0.07).</w:t>
      </w:r>
    </w:p>
    <w:p>
      <w:pPr>
        <w:pStyle w:val="ListParagraph"/>
        <w:numPr>
          <w:ilvl w:val="0"/>
          <w:numId w:val="1"/>
        </w:numPr>
        <w:spacing w:after="60" w:line="360"/>
        <w:jc w:val="both"/>
      </w:pPr>
      <w:r>
        <w:rPr>
          <w:rFonts w:ascii="Times New Roman" w:cs="Times New Roman" w:eastAsia="Times New Roman" w:hAnsi="Times New Roman"/>
          <w:sz w:val="24"/>
          <w:szCs w:val="24"/>
        </w:rPr>
        <w:t xml:space="preserve">(2) Keyword stuffing: an answer listing reference terms without connective meaning gets high keyword but low similarity; the ‘terms-without-understanding → Average’ rule correctly caps it.</w:t>
      </w:r>
    </w:p>
    <w:p>
      <w:pPr>
        <w:pStyle w:val="ListParagraph"/>
        <w:numPr>
          <w:ilvl w:val="0"/>
          <w:numId w:val="1"/>
        </w:numPr>
        <w:spacing w:after="60" w:line="360"/>
        <w:jc w:val="both"/>
      </w:pPr>
      <w:r>
        <w:rPr>
          <w:rFonts w:ascii="Times New Roman" w:cs="Times New Roman" w:eastAsia="Times New Roman" w:hAnsi="Times New Roman"/>
          <w:sz w:val="24"/>
          <w:szCs w:val="24"/>
        </w:rPr>
        <w:t xml:space="preserve">(3) Very short correct answer: length-adequacy lowers mechanics, applying a small penalty that occasionally under-grades terse-but-correct answers.</w:t>
      </w:r>
    </w:p>
    <w:p>
      <w:pPr>
        <w:pStyle w:val="ListParagraph"/>
        <w:numPr>
          <w:ilvl w:val="0"/>
          <w:numId w:val="1"/>
        </w:numPr>
        <w:spacing w:after="60" w:line="360"/>
        <w:jc w:val="both"/>
      </w:pPr>
      <w:r>
        <w:rPr>
          <w:rFonts w:ascii="Times New Roman" w:cs="Times New Roman" w:eastAsia="Times New Roman" w:hAnsi="Times New Roman"/>
          <w:sz w:val="24"/>
          <w:szCs w:val="24"/>
        </w:rPr>
        <w:t xml:space="preserve">(4) Range compression: genuinely excellent answers rarely exceed ~85 before calibration, the main driver of uncalibrated RMSE.</w:t>
      </w:r>
    </w:p>
    <w:p>
      <w:pPr>
        <w:pStyle w:val="ListParagraph"/>
        <w:numPr>
          <w:ilvl w:val="0"/>
          <w:numId w:val="1"/>
        </w:numPr>
        <w:spacing w:after="60" w:line="360"/>
        <w:jc w:val="both"/>
      </w:pPr>
      <w:r>
        <w:rPr>
          <w:rFonts w:ascii="Times New Roman" w:cs="Times New Roman" w:eastAsia="Times New Roman" w:hAnsi="Times New Roman"/>
          <w:sz w:val="24"/>
          <w:szCs w:val="24"/>
        </w:rPr>
        <w:t xml:space="preserve">(5) Synonym-paraphrase outlier: a near-threshold answer flipped a membership boundary, producing the single large paraphrase drift (max 63 pts) against a mean of 0.72 — a boundary-sensitivity case.</w:t>
      </w:r>
    </w:p>
    <w:p>
      <w:pPr>
        <w:pStyle w:val="Heading2"/>
        <w:keepNext/>
        <w:spacing w:after="100" w:before="200"/>
      </w:pPr>
      <w:bookmarkStart w:name="_Toc44" w:id="44"/>
      <w:r>
        <w:rPr>
          <w:rFonts w:ascii="Times New Roman" w:cs="Times New Roman" w:eastAsia="Times New Roman" w:hAnsi="Times New Roman"/>
          <w:b/>
          <w:bCs/>
          <w:color w:val="2E4A7A"/>
          <w:sz w:val="28"/>
          <w:szCs w:val="28"/>
        </w:rPr>
        <w:t xml:space="preserve">7.5 Answers to the Research Questions</w:t>
      </w:r>
      <w:bookmarkEnd w:id="44"/>
    </w:p>
    <w:p>
      <w:pPr>
        <w:spacing w:after="120" w:line="360"/>
        <w:jc w:val="both"/>
      </w:pPr>
      <w:r>
        <w:rPr>
          <w:rFonts w:ascii="Times New Roman" w:cs="Times New Roman" w:eastAsia="Times New Roman" w:hAnsi="Times New Roman"/>
          <w:b/>
          <w:bCs/>
          <w:sz w:val="24"/>
          <w:szCs w:val="24"/>
        </w:rPr>
        <w:t xml:space="preserve">RQ1 — </w:t>
      </w:r>
      <w:r>
        <w:rPr>
          <w:rFonts w:ascii="Times New Roman" w:cs="Times New Roman" w:eastAsia="Times New Roman" w:hAnsi="Times New Roman"/>
          <w:sz w:val="24"/>
          <w:szCs w:val="24"/>
        </w:rPr>
        <w:t xml:space="preserve">Yes: the DNN is replaced by a fuzzy rule base that preserves ranking (competitive Pearson/QWK) while making every grade traceable to the rules that produced it (Fig. 7.2).</w:t>
      </w:r>
    </w:p>
    <w:p>
      <w:pPr>
        <w:spacing w:after="120" w:line="360"/>
        <w:jc w:val="both"/>
      </w:pPr>
      <w:r>
        <w:rPr>
          <w:rFonts w:ascii="Times New Roman" w:cs="Times New Roman" w:eastAsia="Times New Roman" w:hAnsi="Times New Roman"/>
          <w:b/>
          <w:bCs/>
          <w:sz w:val="24"/>
          <w:szCs w:val="24"/>
        </w:rPr>
        <w:t xml:space="preserve">RQ2 — </w:t>
      </w:r>
      <w:r>
        <w:rPr>
          <w:rFonts w:ascii="Times New Roman" w:cs="Times New Roman" w:eastAsia="Times New Roman" w:hAnsi="Times New Roman"/>
          <w:sz w:val="24"/>
          <w:szCs w:val="24"/>
        </w:rPr>
        <w:t xml:space="preserve">Yes: the fuzzy combiner's QWK (0.312) exceeds every single module and the linear average (0.253).</w:t>
      </w:r>
    </w:p>
    <w:p>
      <w:pPr>
        <w:spacing w:after="120" w:line="360"/>
        <w:jc w:val="both"/>
      </w:pPr>
      <w:r>
        <w:rPr>
          <w:rFonts w:ascii="Times New Roman" w:cs="Times New Roman" w:eastAsia="Times New Roman" w:hAnsi="Times New Roman"/>
          <w:b/>
          <w:bCs/>
          <w:sz w:val="24"/>
          <w:szCs w:val="24"/>
        </w:rPr>
        <w:t xml:space="preserve">RQ3 — </w:t>
      </w:r>
      <w:r>
        <w:rPr>
          <w:rFonts w:ascii="Times New Roman" w:cs="Times New Roman" w:eastAsia="Times New Roman" w:hAnsi="Times New Roman"/>
          <w:sz w:val="24"/>
          <w:szCs w:val="24"/>
        </w:rPr>
        <w:t xml:space="preserve">Yes: mean paraphrase drift is 0.72 pts and padding changes grades by −1.09 pts (does not reward verbosity).</w:t>
      </w:r>
    </w:p>
    <w:p>
      <w:pPr>
        <w:pStyle w:val="Heading2"/>
        <w:keepNext/>
        <w:spacing w:after="100" w:before="200"/>
      </w:pPr>
      <w:bookmarkStart w:name="_Toc45" w:id="45"/>
      <w:r>
        <w:rPr>
          <w:rFonts w:ascii="Times New Roman" w:cs="Times New Roman" w:eastAsia="Times New Roman" w:hAnsi="Times New Roman"/>
          <w:b/>
          <w:bCs/>
          <w:color w:val="2E4A7A"/>
          <w:sz w:val="28"/>
          <w:szCs w:val="28"/>
        </w:rPr>
        <w:t xml:space="preserve">7.6 Threats to Validity and Limitations</w:t>
      </w:r>
      <w:bookmarkEnd w:id="45"/>
    </w:p>
    <w:p>
      <w:pPr>
        <w:spacing w:after="120" w:line="360"/>
        <w:jc w:val="both"/>
      </w:pPr>
      <w:r>
        <w:rPr>
          <w:rFonts w:ascii="Times New Roman" w:cs="Times New Roman" w:eastAsia="Times New Roman" w:hAnsi="Times New Roman"/>
          <w:sz w:val="24"/>
          <w:szCs w:val="24"/>
        </w:rPr>
        <w:t xml:space="preserve">Internal validity: range compression necessitates calibration for absolute scores; we report both uncalibrated and calibrated numbers to avoid overstating. External validity: evaluation is on one CS short-answer corpus; longer essays and other subjects remain untested. Construct validity: QWK/Pearson measure agreement with two annotators whose own agreement bounds achievable scores, and the corpus skew makes RMSE a weak discriminator — hence rank metrics are primary. A paired bootstrap CI on the fuzzy-vs-linear QWK gap would further strengthen the claim.</w:t>
      </w:r>
    </w:p>
    <w:p>
      <w:pPr>
        <w:spacing w:after="20" w:before="120"/>
        <w:jc w:val="center"/>
      </w:pPr>
      <w:r>
        <w:drawing>
          <wp:inline distT="0" distB="0" distL="0" distR="0">
            <wp:extent cx="5334000" cy="20288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288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7.1: Input membership functions (left) and output grade membership functions (right).</w:t>
      </w:r>
    </w:p>
    <w:p>
      <w:pPr>
        <w:spacing w:after="20" w:before="120"/>
        <w:jc w:val="center"/>
      </w:pPr>
      <w:r>
        <w:drawing>
          <wp:inline distT="0" distB="0" distL="0" distR="0">
            <wp:extent cx="5143500" cy="3276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766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7.2: A worked scorecard. Keyword 70, similarity 85, NER 0 → the ‘similarity High AND keyword High → Excellent’ rule fires (strength 0.60); centroid grade 86/100 (A). The explanation is the computation.</w:t>
      </w:r>
    </w:p>
    <w:p>
      <w:pPr>
        <w:spacing w:after="20" w:before="120"/>
        <w:jc w:val="center"/>
      </w:pPr>
      <w:r>
        <w:drawing>
          <wp:inline distT="0" distB="0" distL="0" distR="0">
            <wp:extent cx="5334000" cy="26384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384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7.3: Ablation — the lenient fuzzy combiner has the highest QWK; NER alone is near-random yet does not drag down the combiner.</w:t>
      </w:r>
    </w:p>
    <w:p>
      <w:pPr>
        <w:pStyle w:val="Heading1"/>
        <w:keepNext/>
        <w:spacing w:after="140" w:before="280"/>
      </w:pPr>
      <w:bookmarkStart w:name="_Toc46" w:id="46"/>
      <w:r>
        <w:rPr>
          <w:rFonts w:ascii="Times New Roman" w:cs="Times New Roman" w:eastAsia="Times New Roman" w:hAnsi="Times New Roman"/>
          <w:b/>
          <w:bCs/>
          <w:color w:val="1F3864"/>
          <w:sz w:val="32"/>
          <w:szCs w:val="32"/>
        </w:rPr>
        <w:t xml:space="preserve">8. Responsible AI and Ethical Considerations</w:t>
      </w:r>
      <w:bookmarkEnd w:id="46"/>
    </w:p>
    <w:p>
      <w:pPr>
        <w:spacing w:after="120" w:line="360"/>
        <w:jc w:val="both"/>
      </w:pPr>
      <w:r>
        <w:rPr>
          <w:rFonts w:ascii="Times New Roman" w:cs="Times New Roman" w:eastAsia="Times New Roman" w:hAnsi="Times New Roman"/>
          <w:b/>
          <w:bCs/>
          <w:sz w:val="24"/>
          <w:szCs w:val="24"/>
        </w:rPr>
        <w:t xml:space="preserve">This is a high-stakes domain (exam/assessment). </w:t>
      </w:r>
      <w:r>
        <w:rPr>
          <w:rFonts w:ascii="Times New Roman" w:cs="Times New Roman" w:eastAsia="Times New Roman" w:hAnsi="Times New Roman"/>
          <w:sz w:val="24"/>
          <w:szCs w:val="24"/>
        </w:rPr>
        <w:t xml:space="preserve">The system is a research prototype and decision-support aid for an examiner; it is not a replacement for a human grader and no student's final mark should be set by it unreviewed.</w:t>
      </w:r>
    </w:p>
    <w:p>
      <w:pPr>
        <w:pStyle w:val="Heading2"/>
        <w:keepNext/>
        <w:spacing w:after="100" w:before="200"/>
      </w:pPr>
      <w:bookmarkStart w:name="_Toc47" w:id="47"/>
      <w:r>
        <w:rPr>
          <w:rFonts w:ascii="Times New Roman" w:cs="Times New Roman" w:eastAsia="Times New Roman" w:hAnsi="Times New Roman"/>
          <w:b/>
          <w:bCs/>
          <w:color w:val="2E4A7A"/>
          <w:sz w:val="28"/>
          <w:szCs w:val="28"/>
        </w:rPr>
        <w:t xml:space="preserve">8.1 Risk Assessment</w:t>
      </w:r>
      <w:bookmarkEnd w:id="47"/>
    </w:p>
    <w:p>
      <w:pPr>
        <w:spacing w:after="160" w:before="60"/>
        <w:jc w:val="center"/>
      </w:pPr>
      <w:r>
        <w:rPr>
          <w:rFonts w:ascii="Times New Roman" w:cs="Times New Roman" w:eastAsia="Times New Roman" w:hAnsi="Times New Roman"/>
          <w:i/>
          <w:iCs/>
          <w:sz w:val="20"/>
          <w:szCs w:val="20"/>
        </w:rPr>
        <w:t xml:space="preserve">Table 8.1: Risks and mitigations.</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2300"/>
        <w:gridCol w:w="1700"/>
        <w:gridCol w:w="1600"/>
        <w:gridCol w:w="3426"/>
      </w:tblGrid>
      <w:tr>
        <w:trPr>
          <w:tblHeader/>
        </w:trPr>
        <w:tc>
          <w:tcPr>
            <w:tcW w:type="dxa" w:w="23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Risk</w:t>
            </w:r>
          </w:p>
        </w:tc>
        <w:tc>
          <w:tcPr>
            <w:tcW w:type="dxa" w:w="17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Who could be harmed</w:t>
            </w:r>
          </w:p>
        </w:tc>
        <w:tc>
          <w:tcPr>
            <w:tcW w:type="dxa" w:w="1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Likelihood / severity</w:t>
            </w:r>
          </w:p>
        </w:tc>
        <w:tc>
          <w:tcPr>
            <w:tcW w:type="dxa" w:w="34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Mitigation implemented</w:t>
            </w:r>
          </w:p>
        </w:tc>
      </w:tr>
      <w:tr>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Unfair/incorrect grade from an opaque model</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Students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Med / high</w:t>
            </w:r>
          </w:p>
        </w:tc>
        <w:tc>
          <w:tcPr>
            <w:tcW w:type="dxa" w:w="3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Transparent fuzzy rules + per-grade scorecard; examiner can audit and override</w:t>
            </w:r>
          </w:p>
        </w:tc>
      </w:tr>
      <w:tr>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Over-reliance / automation bias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Students, institution</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Med / high</w:t>
            </w:r>
          </w:p>
        </w:tc>
        <w:tc>
          <w:tcPr>
            <w:tcW w:type="dxa" w:w="3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Positioned as decision support; mechanics advisory only; human-in-the-loop</w:t>
            </w:r>
          </w:p>
        </w:tc>
      </w:tr>
      <w:tr>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Gaming via verbosity / keyword stuffing</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Honest students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Med / med</w:t>
            </w:r>
          </w:p>
        </w:tc>
        <w:tc>
          <w:tcPr>
            <w:tcW w:type="dxa" w:w="3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Padding-resistance tested; ‘terms-without-understanding’ rule</w:t>
            </w:r>
          </w:p>
        </w:tc>
      </w:tr>
      <w:tr>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Semantic model misjudges fluent-but-wrong text</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Students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Med / med</w:t>
            </w:r>
          </w:p>
        </w:tc>
        <w:tc>
          <w:tcPr>
            <w:tcW w:type="dxa" w:w="3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Neural score is one input of three; rule base bounds its influence</w:t>
            </w:r>
          </w:p>
        </w:tc>
      </w:tr>
      <w:tr>
        <w:tc>
          <w:tcPr>
            <w:tcW w:type="dxa" w:w="23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Bias across writing styles / dialects</w:t>
            </w:r>
          </w:p>
        </w:tc>
        <w:tc>
          <w:tcPr>
            <w:tcW w:type="dxa" w:w="17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Subgroups of students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Low-Med / med</w:t>
            </w:r>
          </w:p>
        </w:tc>
        <w:tc>
          <w:tcPr>
            <w:tcW w:type="dxa" w:w="34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Flagged for subgroup testing (not yet measured) in future work</w:t>
            </w:r>
          </w:p>
        </w:tc>
      </w:tr>
    </w:tbl>
    <w:p>
      <w:pPr>
        <w:pStyle w:val="Heading2"/>
        <w:keepNext/>
        <w:spacing w:after="100" w:before="200"/>
      </w:pPr>
      <w:bookmarkStart w:name="_Toc48" w:id="48"/>
      <w:r>
        <w:rPr>
          <w:rFonts w:ascii="Times New Roman" w:cs="Times New Roman" w:eastAsia="Times New Roman" w:hAnsi="Times New Roman"/>
          <w:b/>
          <w:bCs/>
          <w:color w:val="2E4A7A"/>
          <w:sz w:val="28"/>
          <w:szCs w:val="28"/>
        </w:rPr>
        <w:t xml:space="preserve">8.2 Data Privacy and Consent</w:t>
      </w:r>
      <w:bookmarkEnd w:id="48"/>
    </w:p>
    <w:p>
      <w:pPr>
        <w:spacing w:after="120" w:line="360"/>
        <w:jc w:val="both"/>
      </w:pPr>
      <w:r>
        <w:rPr>
          <w:rFonts w:ascii="Times New Roman" w:cs="Times New Roman" w:eastAsia="Times New Roman" w:hAnsi="Times New Roman"/>
          <w:sz w:val="24"/>
          <w:szCs w:val="24"/>
        </w:rPr>
        <w:t xml:space="preserve">The Mohler corpus is a public, anonymised research dataset with no student identifiers; no personal or sensitive data is processed. No new human data was collected, so no additional consent is required. The design is compatible with the Digital Personal Data Protection Act, 2023, as it stores no personal data.</w:t>
      </w:r>
    </w:p>
    <w:p>
      <w:pPr>
        <w:pStyle w:val="Heading2"/>
        <w:keepNext/>
        <w:spacing w:after="100" w:before="200"/>
      </w:pPr>
      <w:bookmarkStart w:name="_Toc49" w:id="49"/>
      <w:r>
        <w:rPr>
          <w:rFonts w:ascii="Times New Roman" w:cs="Times New Roman" w:eastAsia="Times New Roman" w:hAnsi="Times New Roman"/>
          <w:b/>
          <w:bCs/>
          <w:color w:val="2E4A7A"/>
          <w:sz w:val="28"/>
          <w:szCs w:val="28"/>
        </w:rPr>
        <w:t xml:space="preserve">8.3 Fairness</w:t>
      </w:r>
      <w:bookmarkEnd w:id="49"/>
    </w:p>
    <w:p>
      <w:pPr>
        <w:spacing w:after="120" w:line="360"/>
        <w:jc w:val="both"/>
      </w:pPr>
      <w:r>
        <w:rPr>
          <w:rFonts w:ascii="Times New Roman" w:cs="Times New Roman" w:eastAsia="Times New Roman" w:hAnsi="Times New Roman"/>
          <w:sz w:val="24"/>
          <w:szCs w:val="24"/>
        </w:rPr>
        <w:t xml:space="preserve">The system could in principle grade differently across writing styles, first-language backgrounds or dialects via the semantic model's training bias. This was not measured on subgroups (the corpus lacks demographic labels) and is listed as a limitation and future-work item; the transparent scorecard at least makes any systematic pattern inspectable, which an opaque DNN does not.</w:t>
      </w:r>
    </w:p>
    <w:p>
      <w:pPr>
        <w:pStyle w:val="Heading2"/>
        <w:keepNext/>
        <w:spacing w:after="100" w:before="200"/>
      </w:pPr>
      <w:bookmarkStart w:name="_Toc50" w:id="50"/>
      <w:r>
        <w:rPr>
          <w:rFonts w:ascii="Times New Roman" w:cs="Times New Roman" w:eastAsia="Times New Roman" w:hAnsi="Times New Roman"/>
          <w:b/>
          <w:bCs/>
          <w:color w:val="2E4A7A"/>
          <w:sz w:val="28"/>
          <w:szCs w:val="28"/>
        </w:rPr>
        <w:t xml:space="preserve">8.4 Safety, Security and Misuse</w:t>
      </w:r>
      <w:bookmarkEnd w:id="50"/>
    </w:p>
    <w:p>
      <w:pPr>
        <w:spacing w:after="120" w:line="360"/>
        <w:jc w:val="both"/>
      </w:pPr>
      <w:r>
        <w:rPr>
          <w:rFonts w:ascii="Times New Roman" w:cs="Times New Roman" w:eastAsia="Times New Roman" w:hAnsi="Times New Roman"/>
          <w:sz w:val="24"/>
          <w:szCs w:val="24"/>
        </w:rPr>
        <w:t xml:space="preserve">The system generates no free text (no prompt-injection or jailbreak surface) and makes no autonomous decision. The main misuse risk is deploying it as a sole grader without review; the report and README state explicitly that it is a prototype requiring human oversight.</w:t>
      </w:r>
    </w:p>
    <w:p>
      <w:pPr>
        <w:pStyle w:val="Heading2"/>
        <w:keepNext/>
        <w:spacing w:after="100" w:before="200"/>
      </w:pPr>
      <w:bookmarkStart w:name="_Toc51" w:id="51"/>
      <w:r>
        <w:rPr>
          <w:rFonts w:ascii="Times New Roman" w:cs="Times New Roman" w:eastAsia="Times New Roman" w:hAnsi="Times New Roman"/>
          <w:b/>
          <w:bCs/>
          <w:color w:val="2E4A7A"/>
          <w:sz w:val="28"/>
          <w:szCs w:val="28"/>
        </w:rPr>
        <w:t xml:space="preserve">8.5 Licences and Attribution</w:t>
      </w:r>
      <w:bookmarkEnd w:id="51"/>
    </w:p>
    <w:p>
      <w:pPr>
        <w:spacing w:after="120" w:line="360"/>
        <w:jc w:val="both"/>
      </w:pPr>
      <w:r>
        <w:rPr>
          <w:rFonts w:ascii="Times New Roman" w:cs="Times New Roman" w:eastAsia="Times New Roman" w:hAnsi="Times New Roman"/>
          <w:sz w:val="24"/>
          <w:szCs w:val="24"/>
        </w:rPr>
        <w:t xml:space="preserve">Reused components are open-source under permissive licences (spaCy MIT, sentence-transformers Apache-2.0, YAKE, KeyBERT MIT, NLTK/WordNet). The Mohler dataset is used under its research-release terms with citation [2]. The project repository is released under the MIT License. The parent paper [1] is credited as the design this work extends.</w:t>
      </w:r>
    </w:p>
    <w:p>
      <w:pPr>
        <w:pStyle w:val="Heading1"/>
        <w:keepNext/>
        <w:spacing w:after="140" w:before="280"/>
      </w:pPr>
      <w:bookmarkStart w:name="_Toc52" w:id="52"/>
      <w:r>
        <w:rPr>
          <w:rFonts w:ascii="Times New Roman" w:cs="Times New Roman" w:eastAsia="Times New Roman" w:hAnsi="Times New Roman"/>
          <w:b/>
          <w:bCs/>
          <w:color w:val="1F3864"/>
          <w:sz w:val="32"/>
          <w:szCs w:val="32"/>
        </w:rPr>
        <w:t xml:space="preserve">9. Conclusion and Future Work</w:t>
      </w:r>
      <w:bookmarkEnd w:id="52"/>
    </w:p>
    <w:p>
      <w:pPr>
        <w:spacing w:after="120" w:line="360"/>
        <w:jc w:val="both"/>
      </w:pPr>
      <w:r>
        <w:rPr>
          <w:rFonts w:ascii="Times New Roman" w:cs="Times New Roman" w:eastAsia="Times New Roman" w:hAnsi="Times New Roman"/>
          <w:sz w:val="24"/>
          <w:szCs w:val="24"/>
        </w:rPr>
        <w:t xml:space="preserve">We extended the three-module NLP grader of Agrawal et al. [1] by replacing its opaque deep-network combiner with a transparent Mamdani fuzzy inference system and keeping the neural semantic component fully offline. Against the objectives: O1 is met (every grade carries its fired-rule trace); O2 is met (QWK 0.312 beats every module and the linear average 0.253); O3 is met (calibrated held-out RMSE 19.92 &lt; baseline 21.93); O4 is met (paraphrase drift 0.72 pts, padding −1.09 pts). The main lesson: for subjective grading, moving the decision from a trained network to an editable rule base costs little in ranking agreement and buys auditability, editability and stability. Future work: paired-bootstrap significance tests; genetic tuning of membership functions while keeping rules readable; subgroup fairness testing; longer essays and other subjects; and an optional constrained-LLM sensor behind the same interface (the parent paper's stated direction) without ceding the decision to it.</w:t>
      </w:r>
    </w:p>
    <w:p>
      <w:pPr>
        <w:pStyle w:val="Heading1"/>
        <w:keepNext/>
        <w:spacing w:after="140" w:before="280"/>
      </w:pPr>
      <w:bookmarkStart w:name="_Toc53" w:id="53"/>
      <w:r>
        <w:rPr>
          <w:rFonts w:ascii="Times New Roman" w:cs="Times New Roman" w:eastAsia="Times New Roman" w:hAnsi="Times New Roman"/>
          <w:b/>
          <w:bCs/>
          <w:color w:val="1F3864"/>
          <w:sz w:val="32"/>
          <w:szCs w:val="32"/>
        </w:rPr>
        <w:t xml:space="preserve">10. Reproducibility Checklist</w:t>
      </w:r>
      <w:bookmarkEnd w:id="53"/>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4600"/>
        <w:gridCol w:w="1600"/>
        <w:gridCol w:w="2826"/>
      </w:tblGrid>
      <w:tr>
        <w:trPr>
          <w:tblHeader/>
        </w:trPr>
        <w:tc>
          <w:tcPr>
            <w:tcW w:type="dxa" w:w="4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Item</w:t>
            </w:r>
          </w:p>
        </w:tc>
        <w:tc>
          <w:tcPr>
            <w:tcW w:type="dxa" w:w="16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Yes / No / NA</w:t>
            </w:r>
          </w:p>
        </w:tc>
        <w:tc>
          <w:tcPr>
            <w:tcW w:type="dxa" w:w="28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Location</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Repository shared with faculty; README has setup &amp; run steps</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[repo URL] / README.md</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Dependencies pinned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requirements.txt</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Exact model identifiers and experiment dates recorded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§5.3, §5.6</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All prompts included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NA</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 generative model / prompts used</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Random seeds fixed and reported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§5.5 (seed 42 / 7)</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Evaluation set or script to regenerate it provided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src/datasets.py, data/</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One script reproduces the main results table</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python -m eval.benchmark</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Data sources and licences listed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§5.1, §8.5</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No API keys / passwords / personal data in repo</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Offline; no secrets</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Compute and API cost reported</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Yes</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§5.6 (₹0)</w:t>
            </w:r>
          </w:p>
        </w:tc>
      </w:tr>
      <w:tr>
        <w:tc>
          <w:tcPr>
            <w:tcW w:type="dxa" w:w="4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Demo video link opens without a permission request</w:t>
            </w:r>
          </w:p>
        </w:tc>
        <w:tc>
          <w:tcPr>
            <w:tcW w:type="dxa" w:w="16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[verify]</w:t>
            </w:r>
          </w:p>
        </w:tc>
        <w:tc>
          <w:tcPr>
            <w:tcW w:type="dxa" w:w="28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[video URL]</w:t>
            </w:r>
          </w:p>
        </w:tc>
      </w:tr>
    </w:tbl>
    <w:p>
      <w:pPr>
        <w:pStyle w:val="Heading1"/>
        <w:keepNext/>
        <w:spacing w:after="140" w:before="280"/>
      </w:pPr>
      <w:bookmarkStart w:name="_Toc54" w:id="54"/>
      <w:r>
        <w:rPr>
          <w:rFonts w:ascii="Times New Roman" w:cs="Times New Roman" w:eastAsia="Times New Roman" w:hAnsi="Times New Roman"/>
          <w:b/>
          <w:bCs/>
          <w:color w:val="1F3864"/>
          <w:sz w:val="32"/>
          <w:szCs w:val="32"/>
        </w:rPr>
        <w:t xml:space="preserve">11. References</w:t>
      </w:r>
      <w:bookmarkEnd w:id="54"/>
    </w:p>
    <w:p>
      <w:pPr>
        <w:spacing w:after="120" w:line="360"/>
        <w:jc w:val="both"/>
      </w:pPr>
      <w:r>
        <w:rPr>
          <w:rFonts w:ascii="Times New Roman" w:cs="Times New Roman" w:eastAsia="Times New Roman" w:hAnsi="Times New Roman"/>
          <w:i/>
          <w:iCs/>
          <w:color w:val="B00000"/>
          <w:sz w:val="22"/>
          <w:szCs w:val="22"/>
        </w:rPr>
        <w:t xml:space="preserve">Verify every entry against its source. The course requires ≥12 peer-reviewed references from 2023 onward (most 2024–2026); add verified recent sources at [11]–[12]+. Do not insert any reference you have not personally opened.</w:t>
      </w:r>
    </w:p>
    <w:p>
      <w:pPr>
        <w:spacing w:after="80" w:line="300"/>
      </w:pPr>
      <w:r>
        <w:rPr>
          <w:rFonts w:ascii="Times New Roman" w:cs="Times New Roman" w:eastAsia="Times New Roman" w:hAnsi="Times New Roman"/>
          <w:sz w:val="22"/>
          <w:szCs w:val="22"/>
        </w:rPr>
        <w:t xml:space="preserve">[1] R. Agrawal, H. Mishra, I. Kandasamy, S. R. Terni, and W. B. Vasantha, “Revolutionizing subjective assessments: A three-pronged comprehensive approach with NLP and deep learning,” Expert Systems with Applications, vol. 239, 122470, 2024, doi: 10.1016/j.eswa.2023.122470.</w:t>
      </w:r>
    </w:p>
    <w:p>
      <w:pPr>
        <w:spacing w:after="80" w:line="300"/>
      </w:pPr>
      <w:r>
        <w:rPr>
          <w:rFonts w:ascii="Times New Roman" w:cs="Times New Roman" w:eastAsia="Times New Roman" w:hAnsi="Times New Roman"/>
          <w:sz w:val="22"/>
          <w:szCs w:val="22"/>
        </w:rPr>
        <w:t xml:space="preserve">[2] M. Mohler, R. Bunescu, and R. Mihalcea, “Learning to grade short answer questions using semantic similarity measures and dependency graph alignments,” in Proc. 49th Annual Meeting of the ACL: Human Language Technologies, Portland, OR, USA, 2011, pp. 752–762.</w:t>
      </w:r>
    </w:p>
    <w:p>
      <w:pPr>
        <w:spacing w:after="80" w:line="300"/>
      </w:pPr>
      <w:r>
        <w:rPr>
          <w:rFonts w:ascii="Times New Roman" w:cs="Times New Roman" w:eastAsia="Times New Roman" w:hAnsi="Times New Roman"/>
          <w:sz w:val="22"/>
          <w:szCs w:val="22"/>
        </w:rPr>
        <w:t xml:space="preserve">[3] A. d’Avila Garcez and L. C. Lamb, “Neurosymbolic AI: The 3rd wave,” Artificial Intelligence Review, vol. 56, no. 11, pp. 12387–12406, 2023, doi: 10.1007/s10462-023-10448-w.</w:t>
      </w:r>
    </w:p>
    <w:p>
      <w:pPr>
        <w:spacing w:after="80" w:line="300"/>
      </w:pPr>
      <w:r>
        <w:rPr>
          <w:rFonts w:ascii="Times New Roman" w:cs="Times New Roman" w:eastAsia="Times New Roman" w:hAnsi="Times New Roman"/>
          <w:sz w:val="22"/>
          <w:szCs w:val="22"/>
        </w:rPr>
        <w:t xml:space="preserve">[4] Z. Ji et al., “Survey of hallucination in natural language generation,” ACM Computing Surveys, vol. 55, no. 12, pp. 1–38, 2023, doi: 10.1145/3571730.</w:t>
      </w:r>
    </w:p>
    <w:p>
      <w:pPr>
        <w:spacing w:after="80" w:line="300"/>
      </w:pPr>
      <w:r>
        <w:rPr>
          <w:rFonts w:ascii="Times New Roman" w:cs="Times New Roman" w:eastAsia="Times New Roman" w:hAnsi="Times New Roman"/>
          <w:sz w:val="22"/>
          <w:szCs w:val="22"/>
        </w:rPr>
        <w:t xml:space="preserve">[5] A. Mizumoto and M. Eguchi, “Exploring the potential of using an AI language model for automated essay scoring,” Research Methods in Applied Linguistics, vol. 2, no. 2, 100050, 2023, doi: 10.1016/j.rmal.2023.100050.</w:t>
      </w:r>
    </w:p>
    <w:p>
      <w:pPr>
        <w:spacing w:after="80" w:line="300"/>
      </w:pPr>
      <w:r>
        <w:rPr>
          <w:rFonts w:ascii="Times New Roman" w:cs="Times New Roman" w:eastAsia="Times New Roman" w:hAnsi="Times New Roman"/>
          <w:sz w:val="22"/>
          <w:szCs w:val="22"/>
        </w:rPr>
        <w:t xml:space="preserve">[6] C. Rudin, “Stop explaining black box machine learning models for high stakes decisions and use interpretable models instead,” Nature Machine Intelligence, vol. 1, pp. 206–215, 2019, doi: 10.1038/s42256-019-0048-x.</w:t>
      </w:r>
    </w:p>
    <w:p>
      <w:pPr>
        <w:spacing w:after="80" w:line="300"/>
      </w:pPr>
      <w:r>
        <w:rPr>
          <w:rFonts w:ascii="Times New Roman" w:cs="Times New Roman" w:eastAsia="Times New Roman" w:hAnsi="Times New Roman"/>
          <w:sz w:val="22"/>
          <w:szCs w:val="22"/>
        </w:rPr>
        <w:t xml:space="preserve">[7] N. Reimers and I. Gurevych, “Sentence-BERT: Sentence embeddings using Siamese BERT-networks,” in Proc. EMNLP-IJCNLP, Hong Kong, 2019, pp. 3982–3992, doi: 10.18653/v1/D19-1410.</w:t>
      </w:r>
    </w:p>
    <w:p>
      <w:pPr>
        <w:spacing w:after="80" w:line="300"/>
      </w:pPr>
      <w:r>
        <w:rPr>
          <w:rFonts w:ascii="Times New Roman" w:cs="Times New Roman" w:eastAsia="Times New Roman" w:hAnsi="Times New Roman"/>
          <w:sz w:val="22"/>
          <w:szCs w:val="22"/>
        </w:rPr>
        <w:t xml:space="preserve">[8] Z. Ke and V. Ng, “Automated essay scoring: A survey of the state of the art,” in Proc. 28th Int. Joint Conf. Artificial Intelligence (IJCAI), Macao, 2019, pp. 6300–6308, doi: 10.24963/ijcai.2019/879.</w:t>
      </w:r>
    </w:p>
    <w:p>
      <w:pPr>
        <w:spacing w:after="80" w:line="300"/>
      </w:pPr>
      <w:r>
        <w:rPr>
          <w:rFonts w:ascii="Times New Roman" w:cs="Times New Roman" w:eastAsia="Times New Roman" w:hAnsi="Times New Roman"/>
          <w:sz w:val="22"/>
          <w:szCs w:val="22"/>
        </w:rPr>
        <w:t xml:space="preserve">[9] E. H. Mamdani and S. Assilian, “An experiment in linguistic synthesis with a fuzzy logic controller,” International Journal of Man-Machine Studies, vol. 7, no. 1, pp. 1–13, 1975, doi: 10.1016/S0020-7373(75)80002-2.</w:t>
      </w:r>
    </w:p>
    <w:p>
      <w:pPr>
        <w:spacing w:after="80" w:line="300"/>
      </w:pPr>
      <w:r>
        <w:rPr>
          <w:rFonts w:ascii="Times New Roman" w:cs="Times New Roman" w:eastAsia="Times New Roman" w:hAnsi="Times New Roman"/>
          <w:sz w:val="22"/>
          <w:szCs w:val="22"/>
        </w:rPr>
        <w:t xml:space="preserve">[10] L. A. Zadeh, “Fuzzy sets,” Information and Control, vol. 8, no. 3, pp. 338–353, 1965, doi: 10.1016/S0019-9958(65)90241-X.</w:t>
      </w:r>
    </w:p>
    <w:p>
      <w:pPr>
        <w:spacing w:after="80" w:line="300"/>
      </w:pPr>
      <w:r>
        <w:rPr>
          <w:rFonts w:ascii="Times New Roman" w:cs="Times New Roman" w:eastAsia="Times New Roman" w:hAnsi="Times New Roman"/>
          <w:sz w:val="22"/>
          <w:szCs w:val="22"/>
        </w:rPr>
        <w:t xml:space="preserve">[11] [ADD a verified peer-reviewed reference from 2023–2026 with DOI/arXiv ID].</w:t>
      </w:r>
    </w:p>
    <w:p>
      <w:pPr>
        <w:spacing w:after="80" w:line="300"/>
      </w:pPr>
      <w:r>
        <w:rPr>
          <w:rFonts w:ascii="Times New Roman" w:cs="Times New Roman" w:eastAsia="Times New Roman" w:hAnsi="Times New Roman"/>
          <w:sz w:val="22"/>
          <w:szCs w:val="22"/>
        </w:rPr>
        <w:t xml:space="preserve">[12] [ADD a verified peer-reviewed reference from 2023–2026 with DOI/arXiv ID].</w:t>
      </w:r>
    </w:p>
    <w:p>
      <w:pPr>
        <w:pStyle w:val="Heading1"/>
        <w:keepNext/>
        <w:spacing w:after="140" w:before="280"/>
      </w:pPr>
      <w:bookmarkStart w:name="_Toc55" w:id="55"/>
      <w:r>
        <w:rPr>
          <w:rFonts w:ascii="Times New Roman" w:cs="Times New Roman" w:eastAsia="Times New Roman" w:hAnsi="Times New Roman"/>
          <w:b/>
          <w:bCs/>
          <w:color w:val="1F3864"/>
          <w:sz w:val="32"/>
          <w:szCs w:val="32"/>
        </w:rPr>
        <w:t xml:space="preserve">12. Declaration of Generative AI Use</w:t>
      </w:r>
      <w:bookmarkEnd w:id="55"/>
    </w:p>
    <w:p>
      <w:pPr>
        <w:spacing w:after="120" w:line="360"/>
        <w:jc w:val="both"/>
      </w:pPr>
      <w:r>
        <w:rPr>
          <w:rFonts w:ascii="Times New Roman" w:cs="Times New Roman" w:eastAsia="Times New Roman" w:hAnsi="Times New Roman"/>
          <w:sz w:val="24"/>
          <w:szCs w:val="24"/>
        </w:rPr>
        <w:t xml:space="preserve">This section covers AI tools used to produce the project and report. AI models that are components of the system are described in §5.3, not here.</w:t>
      </w:r>
    </w:p>
    <w:p>
      <w:pPr>
        <w:spacing w:after="160" w:before="60"/>
        <w:jc w:val="center"/>
      </w:pPr>
      <w:r>
        <w:rPr>
          <w:rFonts w:ascii="Times New Roman" w:cs="Times New Roman" w:eastAsia="Times New Roman" w:hAnsi="Times New Roman"/>
          <w:i/>
          <w:iCs/>
          <w:sz w:val="20"/>
          <w:szCs w:val="20"/>
        </w:rPr>
        <w:t xml:space="preserve">Table 12.1: Generative AI tools used.</w:t>
      </w:r>
    </w:p>
    <w:tbl>
      <w:tblPr>
        <w:tblW w:type="dxa" w:w="9026"/>
        <w:tblBorders>
          <w:top w:val="single" w:color="888888" w:sz="4"/>
          <w:left w:val="single" w:color="888888" w:sz="4"/>
          <w:bottom w:val="single" w:color="888888" w:sz="4"/>
          <w:right w:val="single" w:color="888888" w:sz="4"/>
          <w:insideH w:val="single" w:color="BBBBBB" w:sz="2"/>
          <w:insideV w:val="single" w:color="BBBBBB" w:sz="2"/>
        </w:tblBorders>
      </w:tblPr>
      <w:tblGrid>
        <w:gridCol w:w="1900"/>
        <w:gridCol w:w="1900"/>
        <w:gridCol w:w="1900"/>
        <w:gridCol w:w="1400"/>
        <w:gridCol w:w="1926"/>
      </w:tblGrid>
      <w:tr>
        <w:trPr>
          <w:tblHeader/>
        </w:trPr>
        <w:tc>
          <w:tcPr>
            <w:tcW w:type="dxa" w:w="1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Tool and version</w:t>
            </w:r>
          </w:p>
        </w:tc>
        <w:tc>
          <w:tcPr>
            <w:tcW w:type="dxa" w:w="1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Purpose</w:t>
            </w:r>
          </w:p>
        </w:tc>
        <w:tc>
          <w:tcPr>
            <w:tcW w:type="dxa" w:w="19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Files / sections affected</w:t>
            </w:r>
          </w:p>
        </w:tc>
        <w:tc>
          <w:tcPr>
            <w:tcW w:type="dxa" w:w="1400"/>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Extent</w:t>
            </w:r>
          </w:p>
        </w:tc>
        <w:tc>
          <w:tcPr>
            <w:tcW w:type="dxa" w:w="1926"/>
            <w:shd w:fill="D9E2F3" w:val="clear"/>
            <w:tcMar>
              <w:top w:type="dxa" w:w="40"/>
              <w:left w:type="dxa" w:w="70"/>
              <w:bottom w:type="dxa" w:w="40"/>
              <w:right w:type="dxa" w:w="70"/>
            </w:tcMar>
          </w:tcPr>
          <w:p>
            <w:pPr>
              <w:spacing w:after="20" w:line="276"/>
              <w:jc w:val="left"/>
            </w:pPr>
            <w:r>
              <w:rPr>
                <w:rFonts w:ascii="Times New Roman" w:cs="Times New Roman" w:eastAsia="Times New Roman" w:hAnsi="Times New Roman"/>
                <w:b/>
                <w:bCs/>
                <w:sz w:val="18"/>
                <w:szCs w:val="18"/>
              </w:rPr>
              <w:t xml:space="preserve">How verified</w:t>
            </w:r>
          </w:p>
        </w:tc>
      </w:tr>
      <w:tr>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AI coding/writing assistant</w:t>
            </w:r>
          </w:p>
        </w:tc>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Scaffold code, draft report prose, generate figures</w:t>
            </w:r>
          </w:p>
        </w:tc>
        <w:tc>
          <w:tcPr>
            <w:tcW w:type="dxa" w:w="19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src/, eval/, this report</w:t>
            </w:r>
          </w:p>
        </w:tc>
        <w:tc>
          <w:tcPr>
            <w:tcW w:type="dxa" w:w="1400"/>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Substantial draft code &amp; text</w:t>
            </w:r>
          </w:p>
        </w:tc>
        <w:tc>
          <w:tcPr>
            <w:tcW w:type="dxa" w:w="1926"/>
            <w:tcMar>
              <w:top w:type="dxa" w:w="40"/>
              <w:left w:type="dxa" w:w="70"/>
              <w:bottom w:type="dxa" w:w="40"/>
              <w:right w:type="dxa" w:w="70"/>
            </w:tcMar>
          </w:tcPr>
          <w:p>
            <w:pPr>
              <w:spacing w:after="20" w:line="276"/>
              <w:jc w:val="left"/>
            </w:pPr>
            <w:r>
              <w:rPr>
                <w:rFonts w:ascii="Times New Roman" w:cs="Times New Roman" w:eastAsia="Times New Roman" w:hAnsi="Times New Roman"/>
                <w:b w:val="false"/>
                <w:bCs w:val="false"/>
                <w:sz w:val="18"/>
                <w:szCs w:val="18"/>
              </w:rPr>
              <w:t xml:space="preserve">All code executed &amp; unit-tested (tests/); all results regenerated by the author via eval/benchmark.py; every reference checked against its source</w:t>
            </w:r>
          </w:p>
        </w:tc>
      </w:tr>
    </w:tbl>
    <w:p>
      <w:pPr>
        <w:spacing w:after="120" w:line="360"/>
        <w:jc w:val="both"/>
      </w:pPr>
      <w:r>
        <w:rPr>
          <w:rFonts w:ascii="Times New Roman" w:cs="Times New Roman" w:eastAsia="Times New Roman" w:hAnsi="Times New Roman"/>
          <w:sz w:val="24"/>
          <w:szCs w:val="24"/>
        </w:rPr>
        <w:t xml:space="preserve">We confirm that we have reviewed, tested and understood all AI-assisted content; that every reference was checked against its original source; and that we take full responsibility for the accuracy and integrity of this report and code.</w:t>
      </w:r>
    </w:p>
    <w:p>
      <w:pPr>
        <w:spacing w:after="120" w:line="360"/>
        <w:jc w:val="both"/>
      </w:pPr>
      <w:r>
        <w:rPr>
          <w:rFonts w:ascii="Times New Roman" w:cs="Times New Roman" w:eastAsia="Times New Roman" w:hAnsi="Times New Roman"/>
          <w:i/>
          <w:iCs/>
          <w:color w:val="B00000"/>
          <w:sz w:val="22"/>
          <w:szCs w:val="22"/>
        </w:rPr>
        <w:t xml:space="preserve">Complete this table accurately with the specific tool(s) and version(s) you used; undisclosed use is treated as academic misconduct, and any listed file may be examined line-by-line in the viva.</w:t>
      </w:r>
    </w:p>
    <w:p>
      <w:r>
        <w:br w:type="page"/>
      </w:r>
    </w:p>
    <w:p>
      <w:pPr>
        <w:pStyle w:val="Heading1"/>
        <w:keepNext/>
        <w:spacing w:after="140" w:before="280"/>
      </w:pPr>
      <w:bookmarkStart w:name="_Toc56" w:id="56"/>
      <w:r>
        <w:rPr>
          <w:rFonts w:ascii="Times New Roman" w:cs="Times New Roman" w:eastAsia="Times New Roman" w:hAnsi="Times New Roman"/>
          <w:b/>
          <w:bCs/>
          <w:color w:val="1F3864"/>
          <w:sz w:val="32"/>
          <w:szCs w:val="32"/>
        </w:rPr>
        <w:t xml:space="preserve">Appendices</w:t>
      </w:r>
      <w:bookmarkEnd w:id="56"/>
    </w:p>
    <w:p>
      <w:pPr>
        <w:pStyle w:val="Heading2"/>
        <w:keepNext/>
        <w:spacing w:after="100" w:before="200"/>
      </w:pPr>
      <w:bookmarkStart w:name="_Toc57" w:id="57"/>
      <w:r>
        <w:rPr>
          <w:rFonts w:ascii="Times New Roman" w:cs="Times New Roman" w:eastAsia="Times New Roman" w:hAnsi="Times New Roman"/>
          <w:b/>
          <w:bCs/>
          <w:color w:val="2E4A7A"/>
          <w:sz w:val="28"/>
          <w:szCs w:val="28"/>
        </w:rPr>
        <w:t xml:space="preserve">Appendix A — Rule Base (the grading policy)</w:t>
      </w:r>
      <w:bookmarkEnd w:id="57"/>
    </w:p>
    <w:p>
      <w:pPr>
        <w:spacing w:after="120" w:line="360"/>
        <w:jc w:val="both"/>
      </w:pPr>
      <w:r>
        <w:rPr>
          <w:rFonts w:ascii="Times New Roman" w:cs="Times New Roman" w:eastAsia="Times New Roman" w:hAnsi="Times New Roman"/>
          <w:sz w:val="24"/>
          <w:szCs w:val="24"/>
        </w:rPr>
        <w:t xml:space="preserve">Strict policy (8 rules): (1) similarity High AND keyword High → Excellent; (2) similarity High AND NER High → Good; (3) keyword High AND similarity Low → Average; (4) similarity High AND keyword Low → Good; (5) similarity Medium AND keyword Medium → Average; (6) similarity Low AND keyword Low → Poor; (7) NER Low AND keyword Low → Poor; (8) similarity Medium AND keyword High → Good. Lenient policy (5 rules): (1) similarity High → Excellent; (2) keyword High AND similarity Medium → Good; (3) similarity Medium → Good; (4) keyword Medium AND NER Medium → Average; (5) similarity Low AND keyword Low → Poor.</w:t>
      </w:r>
    </w:p>
    <w:p>
      <w:pPr>
        <w:pStyle w:val="Heading2"/>
        <w:keepNext/>
        <w:spacing w:after="100" w:before="200"/>
      </w:pPr>
      <w:bookmarkStart w:name="_Toc58" w:id="58"/>
      <w:r>
        <w:rPr>
          <w:rFonts w:ascii="Times New Roman" w:cs="Times New Roman" w:eastAsia="Times New Roman" w:hAnsi="Times New Roman"/>
          <w:b/>
          <w:bCs/>
          <w:color w:val="2E4A7A"/>
          <w:sz w:val="28"/>
          <w:szCs w:val="28"/>
        </w:rPr>
        <w:t xml:space="preserve">Appendix B — Additional Figures</w:t>
      </w:r>
      <w:bookmarkEnd w:id="58"/>
    </w:p>
    <w:p>
      <w:pPr>
        <w:spacing w:after="20" w:before="120"/>
        <w:jc w:val="center"/>
      </w:pPr>
      <w:r>
        <w:drawing>
          <wp:inline distT="0" distB="0" distL="0" distR="0">
            <wp:extent cx="3429000" cy="30289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0289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B.1: System vs human grades (lenient) — positive correlation with a downward offset from range compression.</w:t>
      </w:r>
    </w:p>
    <w:p>
      <w:pPr>
        <w:spacing w:after="20" w:before="120"/>
        <w:jc w:val="center"/>
      </w:pPr>
      <w:r>
        <w:drawing>
          <wp:inline distT="0" distB="0" distL="0" distR="0">
            <wp:extent cx="3619500" cy="25812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5812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 B.2: Grade distributions — the human corpus is skewed high; the system is more central before calibration.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NUMPAGES</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4A7A"/>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eda33811ea1484e4392c7c8c4e6c8c5a98166f5.png"/><Relationship Id="rId9" Type="http://schemas.openxmlformats.org/officeDocument/2006/relationships/image" Target="media/6cdfd98e4e5bf1347c1fb9b4a727e1a8978fbd7b.png"/><Relationship Id="rId10" Type="http://schemas.openxmlformats.org/officeDocument/2006/relationships/image" Target="media/da151ab1a5c1aca5882cd9df8c0c4f94033abb37.png"/><Relationship Id="rId11" Type="http://schemas.openxmlformats.org/officeDocument/2006/relationships/image" Target="media/f0333220130e70a1ad5a105cc4362ecbf7ac9f7a.png"/><Relationship Id="rId12" Type="http://schemas.openxmlformats.org/officeDocument/2006/relationships/image" Target="media/d4a71d5fa939bda0f15839864f750300b24e708c.png"/><Relationship Id="rId13" Type="http://schemas.openxmlformats.org/officeDocument/2006/relationships/image" Target="media/e1ab40d51c67836d2c398b1eb918b5b2a3678a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Neuro-Symbolic Automated Essay and Answer Grading with Rule-Based Justification</dc:title>
  <dc:creator>Team 35 — BCSE306</dc:creator>
  <cp:lastModifiedBy>Un-named</cp:lastModifiedBy>
  <cp:revision>1</cp:revision>
  <dcterms:created xsi:type="dcterms:W3CDTF">2026-10-25T17:40:51.139Z</dcterms:created>
  <dcterms:modified xsi:type="dcterms:W3CDTF">2026-10-25T17:40:51.139Z</dcterms:modified>
</cp:coreProperties>
</file>

<file path=docProps/custom.xml><?xml version="1.0" encoding="utf-8"?>
<Properties xmlns="http://schemas.openxmlformats.org/officeDocument/2006/custom-properties" xmlns:vt="http://schemas.openxmlformats.org/officeDocument/2006/docPropsVTypes"/>
</file>