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rPr/>
      </w:pPr>
      <w:r>
        <w:rPr/>
        <w:t xml:space="preserve">Классификация методов защиты информации. </w:t>
        <w:br/>
        <w:t>Классификация: правовые, организационные, инженерные (технические, информационные, физические)</w:t>
      </w:r>
    </w:p>
    <w:p>
      <w:pPr>
        <w:pStyle w:val="ListParagraph"/>
        <w:numPr>
          <w:ilvl w:val="0"/>
          <w:numId w:val="1"/>
        </w:numPr>
        <w:rPr/>
      </w:pPr>
      <w:r>
        <w:rPr/>
        <w:t>Классификация методов защиты информации: административные и ограничительные</w:t>
      </w:r>
    </w:p>
    <w:p>
      <w:pPr>
        <w:pStyle w:val="ListParagraph"/>
        <w:numPr>
          <w:ilvl w:val="0"/>
          <w:numId w:val="1"/>
        </w:numPr>
        <w:rPr/>
      </w:pPr>
      <w:r>
        <w:rPr/>
        <w:t>Организационно-административные методы защиты информации - комплекс административных и ограничительных мер, направленных на защиту информации путем регламентации деятельности персонала и порядка функционирования средств (систем).</w:t>
      </w:r>
    </w:p>
    <w:p>
      <w:pPr>
        <w:pStyle w:val="ListParagraph"/>
        <w:numPr>
          <w:ilvl w:val="0"/>
          <w:numId w:val="1"/>
        </w:numPr>
        <w:rPr/>
      </w:pPr>
      <w:r>
        <w:rPr/>
        <w:t>Состав организационно-распорядительных документов – перечень информации, подлежащий защите; документы, регламентирующие порядок обращения к защищённым данным; положения о структурных подразделениях предприятия; док-ты, регламентирующие взаим. предприятия со сторонними организациями по вопросам обмена информацией; док-ты, регламентирующие порядок эксплуатации автоматизированных систем предприятия; планы защиты автоматизированных систем предприятия; док-ты, регламентирующие порядок разработки, испытания и сдачи в экспл. ПО; док-ты, реглам. порядок закупки программных и аппаратных средств; док-ты, регламентирующие порядок эксплуатации техн. Средств связи и телекоммуникации.</w:t>
      </w:r>
    </w:p>
    <w:p>
      <w:pPr>
        <w:pStyle w:val="ListParagraph"/>
        <w:numPr>
          <w:ilvl w:val="0"/>
          <w:numId w:val="1"/>
        </w:numPr>
        <w:rPr/>
      </w:pPr>
      <w:r>
        <w:rPr/>
        <w:t>Что должна содержать маркировка носителей информации? Учётный номер, гриф секр, подпись, присвоенным владельцем сертификата.</w:t>
      </w:r>
    </w:p>
    <w:p>
      <w:pPr>
        <w:pStyle w:val="ListParagraph"/>
        <w:numPr>
          <w:ilvl w:val="0"/>
          <w:numId w:val="1"/>
        </w:numPr>
        <w:rPr/>
      </w:pPr>
      <w:r>
        <w:rPr/>
        <w:t>Кто отвечает за соблюдение в организации организационных мер? На руководителе, начальнике службы безопасности (информационной безопасности), системном (сетевом) администраторе</w:t>
      </w:r>
    </w:p>
    <w:p>
      <w:pPr>
        <w:pStyle w:val="ListParagraph"/>
        <w:numPr>
          <w:ilvl w:val="0"/>
          <w:numId w:val="1"/>
        </w:numPr>
        <w:rPr/>
      </w:pPr>
      <w:r>
        <w:rPr/>
        <w:t>Что такое «Политика безопасности». Совокупность документированных управленческих решении, направленных на защиту информации и ассоциированных с ней ресурсов.</w:t>
      </w:r>
    </w:p>
    <w:p>
      <w:pPr>
        <w:pStyle w:val="ListParagraph"/>
        <w:numPr>
          <w:ilvl w:val="0"/>
          <w:numId w:val="1"/>
        </w:numPr>
        <w:rPr/>
      </w:pPr>
      <w:r>
        <w:rPr/>
        <w:t>Базовая политика безопасности. В ней определяются разрешенные и запрещенные действия, а также указываются необходимые средства управления в рамках реализуемой архитектуры безопасности.</w:t>
      </w:r>
    </w:p>
    <w:p>
      <w:pPr>
        <w:pStyle w:val="ListParagraph"/>
        <w:numPr>
          <w:ilvl w:val="0"/>
          <w:numId w:val="1"/>
        </w:numPr>
        <w:rPr/>
      </w:pPr>
      <w:r>
        <w:rPr/>
        <w:t>Понятие специализированных политик безопасности. Специализированные политики безопасности затрагивают значительное число пользователей или связаны с конкретными техническими областями. (прим: политика удалённого доступа)</w:t>
      </w:r>
    </w:p>
    <w:p>
      <w:pPr>
        <w:pStyle w:val="ListParagraph"/>
        <w:numPr>
          <w:ilvl w:val="0"/>
          <w:numId w:val="1"/>
        </w:numPr>
        <w:rPr/>
      </w:pPr>
      <w:r>
        <w:rPr/>
        <w:t>Принцип невозможности перехода в небезопасное состояние означает, что при любых обстоятельствах, в том числе нештатных, защитное средство либо полностью выполняет свои функции, либо полностью блокирует доступ.</w:t>
      </w:r>
    </w:p>
    <w:p>
      <w:pPr>
        <w:pStyle w:val="ListParagraph"/>
        <w:numPr>
          <w:ilvl w:val="0"/>
          <w:numId w:val="1"/>
        </w:numPr>
        <w:rPr/>
      </w:pPr>
      <w:r>
        <w:rPr/>
        <w:t>Принцип минимизации привилегий принцип организации доступа к ресурсам, когда в тот или иной уровень абстракции от вычислительной среды, каждый модуль (такой, как процесс, пользователь или программа, которые мы рассматриваем) должны иметь доступ к такой информации и ресурсам, которые минимально необходимы для успешного выполнения его рабочей цели.</w:t>
      </w:r>
    </w:p>
    <w:p>
      <w:pPr>
        <w:pStyle w:val="ListParagraph"/>
        <w:numPr>
          <w:ilvl w:val="0"/>
          <w:numId w:val="1"/>
        </w:numPr>
        <w:rPr/>
      </w:pPr>
      <w:r>
        <w:rPr/>
        <w:t>Принцип разделения обязанностей. (можно пинать хуй) ни один участник труда не имеет единоличного контроля над производством или заданием.</w:t>
      </w:r>
    </w:p>
    <w:p>
      <w:pPr>
        <w:pStyle w:val="ListParagraph"/>
        <w:numPr>
          <w:ilvl w:val="0"/>
          <w:numId w:val="1"/>
        </w:numPr>
        <w:rPr/>
      </w:pPr>
      <w:r>
        <w:rPr/>
        <w:t>Принцип эшелонированности обороны. это подход, который предполагает разделение информационной системы на несколько «эшелонов», каждый из которых имеет свои собственные меры безопасности. Короче, система защиты в несколько уровней.</w:t>
      </w:r>
    </w:p>
    <w:p>
      <w:pPr>
        <w:pStyle w:val="ListParagraph"/>
        <w:numPr>
          <w:ilvl w:val="0"/>
          <w:numId w:val="1"/>
        </w:numPr>
        <w:rPr/>
      </w:pPr>
      <w:r>
        <w:rPr/>
        <w:t>Принцип разнообразия защитных средств. Предполагает создание различных по своему характеру оборонительных рубежей, чтобы от потенциального злоумышленника требовалось овладение разнообразными техническими средствами.</w:t>
      </w:r>
    </w:p>
    <w:p>
      <w:pPr>
        <w:pStyle w:val="ListParagraph"/>
        <w:numPr>
          <w:ilvl w:val="0"/>
          <w:numId w:val="1"/>
        </w:numPr>
        <w:rPr/>
      </w:pPr>
      <w:r>
        <w:rPr/>
        <w:t>Принцип всеобщей поддержки мер безопасности. Поддерживать меры безопасности обязан каждый сотрудник без исключения.</w:t>
      </w:r>
    </w:p>
    <w:p>
      <w:pPr>
        <w:pStyle w:val="ListParagraph"/>
        <w:numPr>
          <w:ilvl w:val="0"/>
          <w:numId w:val="1"/>
        </w:numPr>
        <w:rPr/>
      </w:pPr>
      <w:r>
        <w:rPr/>
        <w:t>Принцип адекватности. От всего защититься не получится, Методы защиты должны быть дифференцированы в зависимости от важности, частоты и вероятности возникновения угроз информационной безопасности. Для наименее важных можно принять риск.</w:t>
      </w:r>
    </w:p>
    <w:p>
      <w:pPr>
        <w:pStyle w:val="ListParagraph"/>
        <w:numPr>
          <w:ilvl w:val="0"/>
          <w:numId w:val="1"/>
        </w:numPr>
        <w:rPr/>
      </w:pPr>
      <w:r>
        <w:rPr/>
        <w:t>Системность. Предполагает взаимосвязь процессов организации защиты информационных ресурсов, согласованное применение методов и средств защиты информационных ресурсов.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Прозрачность для легальных пользователей. Не усложнять слишком сильно доступ к ресурсу реальных пользователей (пример: </w:t>
      </w:r>
      <w:hyperlink r:id="rId2">
        <w:r>
          <w:rPr/>
          <w:t>https://neal.fun/password-game/</w:t>
        </w:r>
      </w:hyperlink>
      <w:r>
        <w:rPr/>
        <w:t>)</w:t>
      </w:r>
    </w:p>
    <w:p>
      <w:pPr>
        <w:pStyle w:val="ListParagraph"/>
        <w:numPr>
          <w:ilvl w:val="0"/>
          <w:numId w:val="1"/>
        </w:numPr>
        <w:rPr/>
      </w:pPr>
      <w:r>
        <w:rPr/>
        <w:t>Равностойкость звеньев. Прочность системы обозначается стойкостью самого слабого звена. Увеличил стойкость одного звена в целом система стойкость не повысит. Поэтому все звенья защиты должны быть одинаково стойки.</w:t>
      </w:r>
    </w:p>
    <w:p>
      <w:pPr>
        <w:pStyle w:val="ListParagraph"/>
        <w:numPr>
          <w:ilvl w:val="0"/>
          <w:numId w:val="1"/>
        </w:numPr>
        <w:rPr/>
      </w:pPr>
      <w:r>
        <w:rPr/>
        <w:t>Главные этапы построения политики безопасности:</w:t>
      </w:r>
    </w:p>
    <w:p>
      <w:pPr>
        <w:pStyle w:val="P262"/>
        <w:numPr>
          <w:ilvl w:val="1"/>
          <w:numId w:val="1"/>
        </w:numPr>
        <w:spacing w:lineRule="atLeast" w:line="300" w:beforeAutospacing="0" w:before="75" w:afterAutospacing="0" w:after="0"/>
        <w:jc w:val="both"/>
        <w:rPr>
          <w:color w:val="000000"/>
        </w:rPr>
      </w:pPr>
      <w:r>
        <w:rPr>
          <w:rStyle w:val="Ft94"/>
          <w:color w:val="000000"/>
        </w:rPr>
        <w:t>обследование информационной системы на предмет установления организационной и информационной структуры и угроз безопасности информации;</w:t>
      </w:r>
    </w:p>
    <w:p>
      <w:pPr>
        <w:pStyle w:val="P231"/>
        <w:numPr>
          <w:ilvl w:val="1"/>
          <w:numId w:val="1"/>
        </w:numPr>
        <w:spacing w:lineRule="atLeast" w:line="255" w:beforeAutospacing="0" w:before="30" w:afterAutospacing="0" w:after="0"/>
        <w:jc w:val="both"/>
        <w:rPr>
          <w:color w:val="000000"/>
        </w:rPr>
      </w:pPr>
      <w:r>
        <w:rPr>
          <w:rStyle w:val="Ft96"/>
          <w:color w:val="000000"/>
        </w:rPr>
        <w:t>выбор и установка средств защиты;</w:t>
      </w:r>
    </w:p>
    <w:p>
      <w:pPr>
        <w:pStyle w:val="P228"/>
        <w:numPr>
          <w:ilvl w:val="1"/>
          <w:numId w:val="1"/>
        </w:numPr>
        <w:spacing w:lineRule="atLeast" w:line="255" w:beforeAutospacing="0" w:before="60" w:afterAutospacing="0" w:after="0"/>
        <w:jc w:val="both"/>
        <w:rPr>
          <w:color w:val="000000"/>
        </w:rPr>
      </w:pPr>
      <w:r>
        <w:rPr>
          <w:rStyle w:val="Ft96"/>
          <w:color w:val="000000"/>
        </w:rPr>
        <w:t>подготовка персонала работе со средствами защиты;</w:t>
      </w:r>
    </w:p>
    <w:p>
      <w:pPr>
        <w:pStyle w:val="P228"/>
        <w:numPr>
          <w:ilvl w:val="1"/>
          <w:numId w:val="1"/>
        </w:numPr>
        <w:spacing w:lineRule="atLeast" w:line="255" w:beforeAutospacing="0" w:before="0" w:afterAutospacing="0" w:after="0"/>
        <w:jc w:val="both"/>
        <w:rPr>
          <w:color w:val="000000"/>
        </w:rPr>
      </w:pPr>
      <w:r>
        <w:rPr>
          <w:rStyle w:val="Ft96"/>
          <w:color w:val="000000"/>
        </w:rPr>
        <w:t>организация обслуживания по вопросам информационной безопасности;</w:t>
      </w:r>
    </w:p>
    <w:p>
      <w:pPr>
        <w:pStyle w:val="P228"/>
        <w:numPr>
          <w:ilvl w:val="1"/>
          <w:numId w:val="1"/>
        </w:numPr>
        <w:spacing w:lineRule="atLeast" w:line="255" w:beforeAutospacing="0" w:before="0" w:afterAutospacing="0" w:after="0"/>
        <w:jc w:val="both"/>
        <w:rPr>
          <w:color w:val="000000"/>
        </w:rPr>
      </w:pPr>
      <w:r>
        <w:rPr>
          <w:rStyle w:val="Ft96"/>
          <w:color w:val="000000"/>
        </w:rPr>
        <w:t xml:space="preserve">создание системы периодического контроля информационной безопасности </w:t>
      </w:r>
      <w:r>
        <w:rPr>
          <w:color w:val="000000"/>
        </w:rPr>
        <w:t>ИС.</w:t>
      </w:r>
    </w:p>
    <w:p>
      <w:pPr>
        <w:pStyle w:val="P228"/>
        <w:numPr>
          <w:ilvl w:val="0"/>
          <w:numId w:val="1"/>
        </w:numPr>
        <w:spacing w:lineRule="atLeast" w:line="255" w:beforeAutospacing="0" w:before="0" w:afterAutospacing="0" w:after="0"/>
        <w:jc w:val="both"/>
        <w:rPr>
          <w:color w:val="000000"/>
        </w:rPr>
      </w:pPr>
      <w:r>
        <w:rPr>
          <w:color w:val="000000"/>
        </w:rPr>
        <w:t>Объект информатизации — совокупность информационных ресурсов, средств и систем обработки информации, используемых в соответствии с заданной информационной технологией, средств обеспечения объекта информатизации, помещений или объектов, в которых они установлены, а также помещения и объекты для ведения конфиденциальных разговоров. Примеры: принтеры, сервера, компьютеры, сигнализация, средства в помещении с компом и т. д.</w:t>
      </w:r>
    </w:p>
    <w:p>
      <w:pPr>
        <w:pStyle w:val="P228"/>
        <w:numPr>
          <w:ilvl w:val="0"/>
          <w:numId w:val="1"/>
        </w:numPr>
        <w:spacing w:lineRule="atLeast" w:line="255" w:beforeAutospacing="0" w:before="0" w:afterAutospacing="0" w:after="0"/>
        <w:jc w:val="both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Аттестация — комплекс организационно-технических мероприятий, в результате которых посредством специального документа «Аттестат соответствия» подтверждается, что объект соответствует требованиям стандартов или иных нормативно-технических документов по безопасности информации, утверждённых ФСТЭК.Наличие аттестата соответствия в организации даёт право обработки информации с уровнем секретности (конфиденциальности) на период времени, установленный в аттестате.</w:t>
      </w:r>
    </w:p>
    <w:p>
      <w:pPr>
        <w:pStyle w:val="P228"/>
        <w:numPr>
          <w:ilvl w:val="0"/>
          <w:numId w:val="1"/>
        </w:numPr>
        <w:spacing w:lineRule="atLeast" w:line="255" w:beforeAutospacing="0" w:before="0" w:afterAutospacing="0" w:after="0"/>
        <w:jc w:val="both"/>
        <w:rPr>
          <w:color w:val="000000"/>
        </w:rPr>
      </w:pPr>
      <w:r>
        <w:rPr/>
        <w:t>Согласно приказу №77, срок проведения работ по аттестации объекта информатизации устанавливается владельцем объекта информатизации по согласованию с органом по аттестации, но не может превышать четырех месяцев.</w:t>
      </w:r>
    </w:p>
    <w:p>
      <w:pPr>
        <w:pStyle w:val="P228"/>
        <w:numPr>
          <w:ilvl w:val="0"/>
          <w:numId w:val="1"/>
        </w:numPr>
        <w:spacing w:lineRule="atLeast" w:line="255" w:beforeAutospacing="0" w:before="0" w:afterAutospacing="0" w:after="0"/>
        <w:jc w:val="both"/>
        <w:rPr>
          <w:color w:val="000000"/>
        </w:rPr>
      </w:pPr>
      <w:r>
        <w:rPr/>
        <w:t>Аттестации обязательно подлежат государственные и муниципальные информационные системы, информационные системы управления военного производства, помещения для конфиденциальных переговоров. Необязательной аттестации подлежат критическая информационная структура, информационные средства с персональными данными, потенциально опасные объекты</w:t>
      </w:r>
    </w:p>
    <w:p>
      <w:pPr>
        <w:pStyle w:val="P228"/>
        <w:numPr>
          <w:ilvl w:val="0"/>
          <w:numId w:val="1"/>
        </w:numPr>
        <w:spacing w:lineRule="atLeast" w:line="255" w:beforeAutospacing="0" w:before="0" w:afterAutospacing="0" w:after="0"/>
        <w:jc w:val="both"/>
        <w:rPr>
          <w:color w:val="000000"/>
        </w:rPr>
      </w:pPr>
      <w:r>
        <w:rPr/>
        <w:t>Согласно приказу №77, Владелец ОИ должен не реже одного раза в 2 года предоставлять протоколы контроля защиты информации на аттестованном ОИ в ФСТЭК России (территориальный орган ФСТЭК России).</w:t>
      </w:r>
    </w:p>
    <w:p>
      <w:pPr>
        <w:pStyle w:val="P228"/>
        <w:numPr>
          <w:ilvl w:val="0"/>
          <w:numId w:val="1"/>
        </w:numPr>
        <w:spacing w:lineRule="atLeast" w:line="255" w:beforeAutospacing="0" w:before="0" w:afterAutospacing="0" w:after="0"/>
        <w:jc w:val="both"/>
        <w:rPr>
          <w:color w:val="000000"/>
        </w:rPr>
      </w:pPr>
      <w:r>
        <w:rPr/>
        <w:t>Дополнительные испытания и повторная аттестация проводится при исключении программных, программно-технических средств и средств защиты информации, дополнительно включены аналогичные средства или заменены ына аналогичные средства, в случае развития (модернизации) ОИ, приводящего к повышению класса защищенности (уровня защищенности, категории значимости) ОИ и (или) к изменению архитектуры системы защиты информации ОИ в части изменения видов и типов программных, программно-технических средств и средств защиты информации, изменения структуры системы защиты информации, состава и мест расположения ОИ и его компонентов.</w:t>
      </w:r>
    </w:p>
    <w:p>
      <w:pPr>
        <w:pStyle w:val="P228"/>
        <w:spacing w:lineRule="atLeast" w:line="255" w:beforeAutospacing="0" w:before="60" w:afterAutospacing="0" w:after="0"/>
        <w:jc w:val="both"/>
        <w:rPr>
          <w:color w:val="000000"/>
        </w:rPr>
      </w:pPr>
      <w:r>
        <w:rPr>
          <w:color w:val="000000"/>
        </w:rPr>
        <w:t>Определения сами допишите!</w:t>
      </w:r>
    </w:p>
    <w:p>
      <w:pPr>
        <w:pStyle w:val="P228"/>
        <w:spacing w:lineRule="atLeast" w:line="255" w:beforeAutospacing="0" w:before="60" w:afterAutospacing="0" w:after="0"/>
        <w:jc w:val="both"/>
        <w:rPr>
          <w:color w:val="000000"/>
        </w:rPr>
      </w:pPr>
      <w:hyperlink r:id="rId3">
        <w:r>
          <w:rPr/>
          <w:t>https://studfile.net/preview/16707525/page:8/</w:t>
        </w:r>
      </w:hyperlink>
    </w:p>
    <w:p>
      <w:pPr>
        <w:pStyle w:val="P228"/>
        <w:spacing w:lineRule="atLeast" w:line="255" w:beforeAutospacing="0" w:before="60" w:afterAutospacing="0" w:after="0"/>
        <w:jc w:val="both"/>
        <w:rPr>
          <w:color w:val="000000"/>
        </w:rPr>
      </w:pPr>
      <w:r>
        <w:rPr>
          <w:color w:val="000000"/>
        </w:rPr>
        <w:t>РУОИДНА ЛТЬБЯ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0f7e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f7e7d"/>
    <w:rPr>
      <w:color w:val="605E5C"/>
      <w:shd w:fill="E1DFDD" w:val="clear"/>
    </w:rPr>
  </w:style>
  <w:style w:type="character" w:styleId="Ft94" w:customStyle="1">
    <w:name w:val="ft94"/>
    <w:basedOn w:val="DefaultParagraphFont"/>
    <w:qFormat/>
    <w:rsid w:val="000d23df"/>
    <w:rPr/>
  </w:style>
  <w:style w:type="character" w:styleId="Ft9" w:customStyle="1">
    <w:name w:val="ft9"/>
    <w:basedOn w:val="DefaultParagraphFont"/>
    <w:qFormat/>
    <w:rsid w:val="000d23df"/>
    <w:rPr/>
  </w:style>
  <w:style w:type="character" w:styleId="Ft96" w:customStyle="1">
    <w:name w:val="ft96"/>
    <w:basedOn w:val="DefaultParagraphFont"/>
    <w:qFormat/>
    <w:rsid w:val="000d23df"/>
    <w:rPr/>
  </w:style>
  <w:style w:type="character" w:styleId="Style15">
    <w:name w:val="Посещённая гиперссылка"/>
    <w:basedOn w:val="DefaultParagraphFont"/>
    <w:uiPriority w:val="99"/>
    <w:semiHidden/>
    <w:unhideWhenUsed/>
    <w:rsid w:val="009e44e5"/>
    <w:rPr>
      <w:color w:val="954F72" w:themeColor="followedHyperlink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e085e"/>
    <w:pPr>
      <w:spacing w:before="0" w:after="160"/>
      <w:ind w:left="720" w:hanging="0"/>
      <w:contextualSpacing/>
    </w:pPr>
    <w:rPr/>
  </w:style>
  <w:style w:type="paragraph" w:styleId="P262" w:customStyle="1">
    <w:name w:val="p262"/>
    <w:basedOn w:val="Normal"/>
    <w:qFormat/>
    <w:rsid w:val="000d23d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31" w:customStyle="1">
    <w:name w:val="p231"/>
    <w:basedOn w:val="Normal"/>
    <w:qFormat/>
    <w:rsid w:val="000d23d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28" w:customStyle="1">
    <w:name w:val="p228"/>
    <w:basedOn w:val="Normal"/>
    <w:qFormat/>
    <w:rsid w:val="000d23d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61" w:customStyle="1">
    <w:name w:val="p261"/>
    <w:basedOn w:val="Normal"/>
    <w:qFormat/>
    <w:rsid w:val="000d23d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eal.fun/password-game/" TargetMode="External"/><Relationship Id="rId3" Type="http://schemas.openxmlformats.org/officeDocument/2006/relationships/hyperlink" Target="https://studfile.net/preview/16707525/page:8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Application>LibreOffice/7.3.7.2$Linux_X86_64 LibreOffice_project/30$Build-2</Application>
  <AppVersion>15.0000</AppVersion>
  <Pages>3</Pages>
  <Words>723</Words>
  <Characters>5756</Characters>
  <CharactersWithSpaces>6420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2024-09-26T19:20:00Z</dcterms:created>
  <dc:creator>Владислав Пахомов</dc:creator>
  <dc:description/>
  <dc:language>ru-RU</dc:language>
  <cp:lastModifiedBy/>
  <dcterms:modified xsi:type="dcterms:W3CDTF">2024-10-17T23:56:57Z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