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C77F18"/>
          <w:sz w:val="22"/>
        </w:rPr>
        <w:t>HKHT  AI  FOR  SEVA</w:t>
      </w:r>
    </w:p>
    <w:p>
      <w:r>
        <w:rPr>
          <w:color w:val="5B6473"/>
          <w:sz w:val="22"/>
        </w:rPr>
        <w:t>Master Consolidated Blueprint</w:t>
      </w:r>
    </w:p>
    <w:p>
      <w:pPr>
        <w:spacing w:before="360"/>
      </w:pPr>
      <w:r>
        <w:rPr>
          <w:b/>
          <w:color w:val="1B2559"/>
          <w:sz w:val="52"/>
        </w:rPr>
        <w:t>HKHT AI for Seva — Enterprise Operating Platform</w:t>
      </w:r>
    </w:p>
    <w:p>
      <w:r>
        <w:rPr>
          <w:i/>
          <w:color w:val="0E7C7B"/>
          <w:sz w:val="26"/>
        </w:rPr>
        <w:t>14 Workflows · 5 Journeys · One AI-First, 1000X-Optimized, End-to-End Automated Enterprise</w:t>
      </w:r>
    </w:p>
    <w:p>
      <w:pPr>
        <w:pBdr>
          <w:bottom w:val="single" w:sz="18" w:space="1" w:color="1B2559"/>
        </w:pBdr>
        <w:spacing w:after="3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4896"/>
        <w:gridCol w:w="4896"/>
      </w:tblGrid>
      <w:tr>
        <w:tc>
          <w:tcPr>
            <w:tcW w:type="dxa" w:w="2880"/>
            <w:shd w:val="clear" w:fill="EDEFF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B2559"/>
                <w:sz w:val="19"/>
              </w:rPr>
              <w:t>Document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sz w:val="19"/>
              </w:rPr>
              <w:t>Master Consolidated Blueprint (the whole picture)</w:t>
            </w:r>
          </w:p>
        </w:tc>
      </w:tr>
      <w:tr>
        <w:tc>
          <w:tcPr>
            <w:tcW w:type="dxa" w:w="2880"/>
            <w:shd w:val="clear" w:fill="EDEFF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B2559"/>
                <w:sz w:val="19"/>
              </w:rPr>
              <w:t>Covers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sz w:val="19"/>
              </w:rPr>
              <w:t>WF-001 to WF-014 + 5 end-to-end journeys + platform governance</w:t>
            </w:r>
          </w:p>
        </w:tc>
      </w:tr>
      <w:tr>
        <w:tc>
          <w:tcPr>
            <w:tcW w:type="dxa" w:w="2880"/>
            <w:shd w:val="clear" w:fill="EDEFF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B2559"/>
                <w:sz w:val="19"/>
              </w:rPr>
              <w:t>Stack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sz w:val="19"/>
              </w:rPr>
              <w:t>Google-first: Gemini Enterprise · Vertex AI Agent Builder · BigQuery · Looker · AppSheet · Apps Script</w:t>
            </w:r>
          </w:p>
        </w:tc>
      </w:tr>
      <w:tr>
        <w:tc>
          <w:tcPr>
            <w:tcW w:type="dxa" w:w="2880"/>
            <w:shd w:val="clear" w:fill="EDEFF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B2559"/>
                <w:sz w:val="19"/>
              </w:rPr>
              <w:t>Operating model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sz w:val="19"/>
              </w:rPr>
              <w:t>30-Day Production Base + 60-Day Stabilization + 75-Day Enterprise Scale</w:t>
            </w:r>
          </w:p>
        </w:tc>
      </w:tr>
      <w:tr>
        <w:tc>
          <w:tcPr>
            <w:tcW w:type="dxa" w:w="2880"/>
            <w:shd w:val="clear" w:fill="EDEFF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B2559"/>
                <w:sz w:val="19"/>
              </w:rPr>
              <w:t>North star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sz w:val="19"/>
              </w:rPr>
              <w:t>1000X revenue &amp; seva growth at minimum human intervention, maximum trust</w:t>
            </w:r>
          </w:p>
        </w:tc>
      </w:tr>
      <w:tr>
        <w:tc>
          <w:tcPr>
            <w:tcW w:type="dxa" w:w="2880"/>
            <w:shd w:val="clear" w:fill="EDEFF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B2559"/>
                <w:sz w:val="19"/>
              </w:rPr>
              <w:t>Status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sz w:val="19"/>
              </w:rPr>
              <w:t>Consolidated blueprint v1.0</w:t>
            </w:r>
          </w:p>
        </w:tc>
      </w:tr>
    </w:tbl>
    <w:p/>
    <w:p>
      <w:r>
        <w:rPr>
          <w:i/>
          <w:color w:val="5B6473"/>
          <w:sz w:val="17"/>
        </w:rPr>
        <w:t>Hyderabad AI Revenue &amp; Seva Growth Platform  ·  Operating model: 30-Day Production Base + 60-Day Stabilization + 75-Day Enterprise Scale</w:t>
      </w:r>
    </w:p>
    <w:p>
      <w:r>
        <w:br w:type="page"/>
      </w:r>
    </w:p>
    <w:p>
      <w:pPr>
        <w:pStyle w:val="Heading1"/>
      </w:pPr>
      <w:r>
        <w:t>1.  Executive Overview</w:t>
      </w:r>
    </w:p>
    <w:p>
      <w:pPr>
        <w:spacing w:after="120"/>
      </w:pPr>
      <w:r>
        <w:rPr>
          <w:b w:val="0"/>
          <w:i w:val="0"/>
          <w:sz w:val="21"/>
        </w:rPr>
        <w:t>HKHT's Hyderabad operation is being rebuilt as one integrated, AI-first enterprise platform rather than a collection of isolated automations. Fourteen workflow modules share a single identity model, one approval discipline and one leadership command center. Together they form five end-to-end journeys that compound revenue and seva. This document is the whole picture: the architecture, the agentic operating mesh, the data spine, the journeys, the governance, the integration set, and the roadmap to a 1000X-scaled operation that runs at minimum human intervention while keeping every sensitive decision human-governed.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FBF1DD"/>
          <w:left w:val="single" w:sz="4" w:space="0" w:color="FBF1DD"/>
          <w:bottom w:val="single" w:sz="4" w:space="0" w:color="FBF1DD"/>
          <w:right w:val="single" w:sz="4" w:space="0" w:color="FBF1DD"/>
          <w:insideH w:val="single" w:sz="4" w:space="0" w:color="FBF1DD"/>
          <w:insideV w:val="single" w:sz="4" w:space="0" w:color="FBF1DD"/>
        </w:tblBorders>
      </w:tblPr>
      <w:tblGrid>
        <w:gridCol w:w="9792"/>
      </w:tblGrid>
      <w:tr>
        <w:tc>
          <w:tcPr>
            <w:tcW w:type="dxa" w:w="10656"/>
            <w:shd w:val="clear" w:fill="FBF1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C77F18"/>
                <w:sz w:val="20"/>
              </w:rPr>
              <w:t xml:space="preserve">Core rule:  </w:t>
            </w:r>
            <w:r>
              <w:rPr>
                <w:sz w:val="20"/>
              </w:rPr>
              <w:t>Start small in execution. Start big in architecture. Start immediately in data discipline. Start revenue-first. Start human-governed. Start platform-compatible.</w:t>
            </w:r>
          </w:p>
        </w:tc>
      </w:tr>
    </w:tbl>
    <w:p>
      <w:pPr>
        <w:spacing w:after="40"/>
      </w:pPr>
    </w:p>
    <w:p>
      <w:pPr>
        <w:pStyle w:val="Heading1"/>
      </w:pPr>
      <w:r>
        <w:t>2.  The Whole Picture — Platform Architecture</w:t>
      </w:r>
    </w:p>
    <w:p>
      <w:pPr>
        <w:spacing w:after="120"/>
      </w:pPr>
      <w:r>
        <w:rPr>
          <w:b w:val="0"/>
          <w:i w:val="0"/>
          <w:sz w:val="21"/>
        </w:rPr>
        <w:t>Seven layers bind every workflow into one operating model. Channels sit on top; a single command center gives leadership visibility; an agent-orchestration layer runs the work; deterministic automation and a shared data/identity spine sit beneath; knowledge &amp; media and a governance/trust layer run through everything.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5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3"/>
          <w:sz w:val="17"/>
        </w:rPr>
        <w:t>Figure 2.1 — The integrated, Google-first platform architecture.</w:t>
      </w:r>
    </w:p>
    <w:p>
      <w:pPr>
        <w:pStyle w:val="Heading2"/>
      </w:pPr>
      <w:r>
        <w:t>Core architecture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176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60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Primary Google-first technology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L7 Experience &amp; Channels</w:t>
            </w:r>
          </w:p>
        </w:tc>
        <w:tc>
          <w:tcPr>
            <w:tcW w:type="dxa" w:w="41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Where devotees, donors and yatris interact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WhatsApp BSP · Twilio voice · Website · Gmail/Social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L6 Leadership Command Center</w:t>
            </w:r>
          </w:p>
        </w:tc>
        <w:tc>
          <w:tcPr>
            <w:tcW w:type="dxa" w:w="417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One daily executive view of the whole platform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Looker Studio (BigQuery)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L5 Agent Orchestration</w:t>
            </w:r>
          </w:p>
        </w:tc>
        <w:tc>
          <w:tcPr>
            <w:tcW w:type="dxa" w:w="41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~130 specialist agents run the work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Vertex AI Agent Builder · Gemini Enterprise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L4 Automation &amp; Application</w:t>
            </w:r>
          </w:p>
        </w:tc>
        <w:tc>
          <w:tcPr>
            <w:tcW w:type="dxa" w:w="417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Deterministic rules, routing, approvals, triggers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Apps Script · AppSheet · Cloud Run · Workflows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L3 Shared Data &amp; Identity</w:t>
            </w:r>
          </w:p>
        </w:tc>
        <w:tc>
          <w:tcPr>
            <w:tcW w:type="dxa" w:w="41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One identity, source and relationship spine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BigQuery · CRM/DBMS · ERP-ready layer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L2 Knowledge &amp; Media</w:t>
            </w:r>
          </w:p>
        </w:tc>
        <w:tc>
          <w:tcPr>
            <w:tcW w:type="dxa" w:w="417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Source-grounded content and approved media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KCKE engine · Media AI pipeline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L1 Governance &amp; Trust</w:t>
            </w:r>
          </w:p>
        </w:tc>
        <w:tc>
          <w:tcPr>
            <w:tcW w:type="dxa" w:w="41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Approvals, dedupe, registry, RACI, audit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Spans all layers</w:t>
            </w:r>
          </w:p>
        </w:tc>
      </w:tr>
    </w:tbl>
    <w:p>
      <w:pPr>
        <w:spacing w:after="40"/>
      </w:pPr>
    </w:p>
    <w:p>
      <w:pPr>
        <w:pStyle w:val="Heading1"/>
      </w:pPr>
      <w:r>
        <w:t>3.  AI-First Operating Model</w:t>
      </w:r>
    </w:p>
    <w:p>
      <w:pPr>
        <w:pStyle w:val="ListBullet"/>
        <w:spacing w:after="40"/>
      </w:pPr>
      <w:r>
        <w:rPr>
          <w:b/>
          <w:sz w:val="21"/>
        </w:rPr>
        <w:t xml:space="preserve">Treat current process as the problem record: </w:t>
      </w:r>
      <w:r>
        <w:rPr>
          <w:sz w:val="21"/>
        </w:rPr>
        <w:t>not the target design.</w:t>
      </w:r>
    </w:p>
    <w:p>
      <w:pPr>
        <w:pStyle w:val="ListBullet"/>
        <w:spacing w:after="40"/>
      </w:pPr>
      <w:r>
        <w:rPr>
          <w:b/>
          <w:sz w:val="21"/>
        </w:rPr>
        <w:t xml:space="preserve">Deterministic automation: </w:t>
      </w:r>
      <w:r>
        <w:rPr>
          <w:sz w:val="21"/>
        </w:rPr>
        <w:t>for validation, reminders, routing, status changes and dashboards.</w:t>
      </w:r>
    </w:p>
    <w:p>
      <w:pPr>
        <w:pStyle w:val="ListBullet"/>
        <w:spacing w:after="40"/>
      </w:pPr>
      <w:r>
        <w:rPr>
          <w:b/>
          <w:sz w:val="21"/>
        </w:rPr>
        <w:t xml:space="preserve">AI assistance: </w:t>
      </w:r>
      <w:r>
        <w:rPr>
          <w:sz w:val="21"/>
        </w:rPr>
        <w:t>for classification, summarization, drafting, recommendation, anomaly detection and next-best-action.</w:t>
      </w:r>
    </w:p>
    <w:p>
      <w:pPr>
        <w:pStyle w:val="ListBullet"/>
        <w:spacing w:after="40"/>
      </w:pPr>
      <w:r>
        <w:rPr>
          <w:b/>
          <w:sz w:val="21"/>
        </w:rPr>
        <w:t xml:space="preserve">Agentic workflows: </w:t>
      </w:r>
      <w:r>
        <w:rPr>
          <w:sz w:val="21"/>
        </w:rPr>
        <w:t>switched on only after data quality, approval routing and fallback paths are validated.</w:t>
      </w:r>
    </w:p>
    <w:p>
      <w:pPr>
        <w:pStyle w:val="ListBullet"/>
        <w:spacing w:after="40"/>
      </w:pPr>
      <w:r>
        <w:rPr>
          <w:b/>
          <w:sz w:val="21"/>
        </w:rPr>
        <w:t xml:space="preserve">Sensitive decisions stay human: </w:t>
      </w:r>
      <w:r>
        <w:rPr>
          <w:sz w:val="21"/>
        </w:rPr>
        <w:t>with AI preparing decision-quality context.</w:t>
      </w:r>
    </w:p>
    <w:p>
      <w:pPr>
        <w:pStyle w:val="Heading1"/>
      </w:pPr>
      <w:r>
        <w:t>4.  The Agentic Operating Mesh</w:t>
      </w:r>
    </w:p>
    <w:p>
      <w:pPr>
        <w:spacing w:after="120"/>
      </w:pPr>
      <w:r>
        <w:rPr>
          <w:b w:val="0"/>
          <w:i w:val="0"/>
          <w:sz w:val="21"/>
        </w:rPr>
        <w:t>Each workflow is delivered by a team of narrow, cooperating agents. Around 130 specialist agents share one identity model, write to one warehouse, and surface on one command center. A platform orchestrator coordinates cross-workflow hand-offs.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6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m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3"/>
          <w:sz w:val="17"/>
        </w:rPr>
        <w:t>Figure 4.1 — The 14-workflow agentic operating mesh.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3264"/>
        <w:gridCol w:w="3264"/>
        <w:gridCol w:w="3264"/>
      </w:tblGrid>
      <w:tr>
        <w:tc>
          <w:tcPr>
            <w:tcW w:type="dxa" w:w="1296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WF</w:t>
            </w:r>
          </w:p>
        </w:tc>
        <w:tc>
          <w:tcPr>
            <w:tcW w:type="dxa" w:w="720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1728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Agents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WF-001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Yatra Lifecycle Automation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WF-002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Voice Agent Calling + CRM Follow-up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WF-003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Digital Marketing Campaign Automation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WF-004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Content Factory + Approval Workflow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WF-005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Online Communications / Digital Reception Desk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WF-006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CRM / DBMS / Data Governance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WF-007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Donor / LLP / CSR Cultivation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WF-008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Meeting Intelligence + Task Governance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WF-009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Finance / DCC / Payment / P&amp;L Intelligence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WF-010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Bahumana / Prasadam / Inventory / Dispatch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WF-011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HR / SOP / KT / Team Management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WF-012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Website / Landing Page / Tech Support Automation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WF-013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Multi-Center Replication System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WF-014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Community Outreach System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—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TOTAL specialist agents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143</w:t>
            </w:r>
          </w:p>
        </w:tc>
      </w:tr>
    </w:tbl>
    <w:p>
      <w:pPr>
        <w:spacing w:after="40"/>
      </w:pPr>
    </w:p>
    <w:p>
      <w:pPr>
        <w:pStyle w:val="Heading1"/>
      </w:pPr>
      <w:r>
        <w:t>5.  The Shared Data Spine (Master Entity Model)</w:t>
      </w:r>
    </w:p>
    <w:p>
      <w:pPr>
        <w:spacing w:after="120"/>
      </w:pPr>
      <w:r>
        <w:rPr>
          <w:b w:val="0"/>
          <w:i w:val="0"/>
          <w:sz w:val="21"/>
        </w:rPr>
        <w:t>Interoperability comes from one shared data contract owned by WF-006. Every workflow uses the same entities and IDs; nothing is created without a resolved Contact_ID, a source and an owner.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2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y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3"/>
          <w:sz w:val="17"/>
        </w:rPr>
        <w:t>Figure 5.1 — Master entity model and relationships.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88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Primary ID</w:t>
            </w:r>
          </w:p>
        </w:tc>
        <w:tc>
          <w:tcPr>
            <w:tcW w:type="dxa" w:w="5184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Source of truth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Contact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Contact_ID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CRM / DBMS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Donor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Donor_ID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CRM + finance/ERP layer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Yatri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Yatri_ID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Yatra module + CRM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Lead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CRM / lead capture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Campaign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Campaign tracker / CRM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Event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Event_ID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Event/community tracker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Donation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Donation_ID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Finance / DCC / ERP layer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Payment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Payment_ID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Finance / DCC / ERP layer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Task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ClickUp / task layer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Owner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Owner_ID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HR / SOP / ClickUp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Relationship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Relationship_ID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CRM intelligence layer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F3EC"/>
          <w:left w:val="single" w:sz="4" w:space="0" w:color="E5F3EC"/>
          <w:bottom w:val="single" w:sz="4" w:space="0" w:color="E5F3EC"/>
          <w:right w:val="single" w:sz="4" w:space="0" w:color="E5F3EC"/>
          <w:insideH w:val="single" w:sz="4" w:space="0" w:color="E5F3EC"/>
          <w:insideV w:val="single" w:sz="4" w:space="0" w:color="E5F3EC"/>
        </w:tblBorders>
      </w:tblPr>
      <w:tblGrid>
        <w:gridCol w:w="9792"/>
      </w:tblGrid>
      <w:tr>
        <w:tc>
          <w:tcPr>
            <w:tcW w:type="dxa" w:w="10656"/>
            <w:shd w:val="clear" w:fill="E5F3EC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0E7C7B"/>
                <w:sz w:val="20"/>
              </w:rPr>
              <w:t xml:space="preserve">Data rules:  </w:t>
            </w:r>
            <w:r>
              <w:rPr>
                <w:sz w:val="20"/>
              </w:rPr>
              <w:t>Phone is the primary match signal; high-value donors are never auto-merged; merges keep full history with an audit note; every record retains origin and last meaningful source.</w:t>
            </w:r>
          </w:p>
        </w:tc>
      </w:tr>
    </w:tbl>
    <w:p>
      <w:pPr>
        <w:spacing w:after="40"/>
      </w:pPr>
    </w:p>
    <w:p>
      <w:pPr>
        <w:pStyle w:val="Heading1"/>
      </w:pPr>
      <w:r>
        <w:t>6.  The 14-Workflow Portfolio</w:t>
      </w:r>
    </w:p>
    <w:p>
      <w:pPr>
        <w:spacing w:after="120"/>
      </w:pPr>
      <w:r>
        <w:rPr>
          <w:b w:val="0"/>
          <w:i w:val="0"/>
          <w:sz w:val="21"/>
        </w:rPr>
        <w:t>Each workflow has its own detailed document. Summarised here with build sequence, accountable owner and platform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584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WF / Seq</w:t>
            </w:r>
          </w:p>
        </w:tc>
        <w:tc>
          <w:tcPr>
            <w:tcW w:type="dxa" w:w="2736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016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32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Platform role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6"/>
              </w:rPr>
              <w:t>WF-006</w:t>
            </w:r>
            <w:r>
              <w:br/>
            </w:r>
            <w:r>
              <w:rPr>
                <w:color w:val="5B6473"/>
                <w:sz w:val="15"/>
              </w:rPr>
              <w:t>seq #1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CRM / DBMS / Data Governance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Sachi Pr + Hemchand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The data backbone every other workflow stands on: one clean, deduplicated, source-tracked, consent-aware identity and re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6"/>
              </w:rPr>
              <w:t>WF-002</w:t>
            </w:r>
            <w:r>
              <w:br/>
            </w:r>
            <w:r>
              <w:rPr>
                <w:color w:val="5B6473"/>
                <w:sz w:val="15"/>
              </w:rPr>
              <w:t>seq #2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Voice Agent Calling + CRM Follow-up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Hemchand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The conversion accelerator: AI voice + disciplined CRM follow-up that turns lists and leads into qualified, booked and c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6"/>
              </w:rPr>
              <w:t>WF-001</w:t>
            </w:r>
            <w:r>
              <w:br/>
            </w:r>
            <w:r>
              <w:rPr>
                <w:color w:val="5B6473"/>
                <w:sz w:val="15"/>
              </w:rPr>
              <w:t>seq #3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Yatra Lifecycle Automation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Arjun Bandu Pr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 xml:space="preserve">The flagship revenue engine: turns pilgrimage demand into enrolled, paid, served and re-cultivated yatris while feeding 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6"/>
              </w:rPr>
              <w:t>WF-003</w:t>
            </w:r>
            <w:r>
              <w:br/>
            </w:r>
            <w:r>
              <w:rPr>
                <w:color w:val="5B6473"/>
                <w:sz w:val="15"/>
              </w:rPr>
              <w:t>seq #4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Digital Marketing Campaign Automation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Hemchand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The demand factory: plans, launches and optimises paid + organic campaigns that feed qualified, attributed leads into ev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6"/>
              </w:rPr>
              <w:t>WF-007</w:t>
            </w:r>
            <w:r>
              <w:br/>
            </w:r>
            <w:r>
              <w:rPr>
                <w:color w:val="5B6473"/>
                <w:sz w:val="15"/>
              </w:rPr>
              <w:t>seq #5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Donor / LLP / CSR Cultivation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Shruta Deva Prabhu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The lifetime-value engine: cultivates donors, LLP relationships and CSR/HNI partners into recurring, growing, deeply-ser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6"/>
              </w:rPr>
              <w:t>WF-014</w:t>
            </w:r>
            <w:r>
              <w:br/>
            </w:r>
            <w:r>
              <w:rPr>
                <w:color w:val="5B6473"/>
                <w:sz w:val="15"/>
              </w:rPr>
              <w:t>seq #6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Community Outreach System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Maha Bhuja Prabhu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The grassroots pipeline: enters, nurtures and converts gated communities and cultural events into contacts, donors, yatr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6"/>
              </w:rPr>
              <w:t>WF-012</w:t>
            </w:r>
            <w:r>
              <w:br/>
            </w:r>
            <w:r>
              <w:rPr>
                <w:color w:val="5B6473"/>
                <w:sz w:val="15"/>
              </w:rPr>
              <w:t>seq #7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Website / Landing Page / Tech Support Automation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Hemchand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The conversion surface and digital reliability layer: ships fast, accurate, payment-ready pages and keeps everything onl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6"/>
              </w:rPr>
              <w:t>WF-009</w:t>
            </w:r>
            <w:r>
              <w:br/>
            </w:r>
            <w:r>
              <w:rPr>
                <w:color w:val="5B6473"/>
                <w:sz w:val="15"/>
              </w:rPr>
              <w:t>seq #8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Finance / DCC / Payment / P&amp;L Intelligence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Shruta Deva Prabhu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The trust and truth layer: reconciles every rupee, validates receipts, resolves suspense, and gives leadership real-time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6"/>
              </w:rPr>
              <w:t>WF-008</w:t>
            </w:r>
            <w:r>
              <w:br/>
            </w:r>
            <w:r>
              <w:rPr>
                <w:color w:val="5B6473"/>
                <w:sz w:val="15"/>
              </w:rPr>
              <w:t>seq #9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Meeting Intelligence + Task Governance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Shravan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The execution backbone: converts every meeting decision into owned, tracked, closed tasks — so strategy actually ships.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6"/>
              </w:rPr>
              <w:t>WF-004</w:t>
            </w:r>
            <w:r>
              <w:br/>
            </w:r>
            <w:r>
              <w:rPr>
                <w:color w:val="5B6473"/>
                <w:sz w:val="15"/>
              </w:rPr>
              <w:t>seq #10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Content Factory + Approval Workflow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Satish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The source-grounded creative supply chain: produces approved, on-brand, scripturally accurate content and assets that fu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6"/>
              </w:rPr>
              <w:t>WF-005</w:t>
            </w:r>
            <w:r>
              <w:br/>
            </w:r>
            <w:r>
              <w:rPr>
                <w:color w:val="5B6473"/>
                <w:sz w:val="15"/>
              </w:rPr>
              <w:t>seq #11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Online Communications / Digital Reception Desk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Deepak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 xml:space="preserve">The always-on front door: unifies every inbound message across channels, replies fast and accurately, and routes intent 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6"/>
              </w:rPr>
              <w:t>WF-010</w:t>
            </w:r>
            <w:r>
              <w:br/>
            </w:r>
            <w:r>
              <w:rPr>
                <w:color w:val="5B6473"/>
                <w:sz w:val="15"/>
              </w:rPr>
              <w:t>seq #12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Bahumana / Prasadam / Inventory / Dispatch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Sahoo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The gratitude-in-action engine: turns donations into well-chosen, in-stock, correctly-dispatched prasadam and gifts — an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6"/>
              </w:rPr>
              <w:t>WF-011</w:t>
            </w:r>
            <w:r>
              <w:br/>
            </w:r>
            <w:r>
              <w:rPr>
                <w:color w:val="5B6473"/>
                <w:sz w:val="15"/>
              </w:rPr>
              <w:t>seq #13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HR / SOP / KT / Team Management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Rajendra Prasad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The capacity and continuity layer: ensures every workflow has trained, role-clear, backed-up people — and that knowledge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6"/>
              </w:rPr>
              <w:t>WF-013</w:t>
            </w:r>
            <w:r>
              <w:br/>
            </w:r>
            <w:r>
              <w:rPr>
                <w:color w:val="5B6473"/>
                <w:sz w:val="15"/>
              </w:rPr>
              <w:t>seq #14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Multi-Center Replication System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Mukund Prabhu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6"/>
              </w:rPr>
              <w:t>The scale multiplier: packages the validated Hyderabad operating model into a replicable, standardised-yet-localisable b</w:t>
            </w:r>
          </w:p>
        </w:tc>
      </w:tr>
    </w:tbl>
    <w:p>
      <w:pPr>
        <w:spacing w:after="40"/>
      </w:pPr>
    </w:p>
    <w:p>
      <w:pPr>
        <w:pStyle w:val="Heading1"/>
      </w:pPr>
      <w:r>
        <w:t>7.  Programme Sequencing &amp; Go / No-Go Gates</w:t>
      </w:r>
    </w:p>
    <w:p>
      <w:pPr>
        <w:spacing w:after="120"/>
      </w:pPr>
      <w:r>
        <w:rPr>
          <w:b w:val="0"/>
          <w:i w:val="0"/>
          <w:sz w:val="21"/>
        </w:rPr>
        <w:t>Build order is deliberate: the data backbone first, then the revenue cluster, then execution, finance, content, operations and finally replication. Each step has a gate that must pass before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3264"/>
        <w:gridCol w:w="3264"/>
        <w:gridCol w:w="3264"/>
      </w:tblGrid>
      <w:tr>
        <w:tc>
          <w:tcPr>
            <w:tcW w:type="dxa" w:w="2736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Sequence</w:t>
            </w:r>
          </w:p>
        </w:tc>
        <w:tc>
          <w:tcPr>
            <w:tcW w:type="dxa" w:w="360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Workflows</w:t>
            </w:r>
          </w:p>
        </w:tc>
        <w:tc>
          <w:tcPr>
            <w:tcW w:type="dxa" w:w="432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Gate before scale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1 · Data Backbone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WF-006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Contact_ID rules, duplicate policy, source fields approved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2 · P0 Revenue Cluster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WF-001/002/003/007/014/012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CRM, owner, dashboard and fallback paths validated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3 · Execution Backbone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WF-008, WF-011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ClickUp structure and RACI routing validated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4 · Financial Control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WF-009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Payment &amp; receipt exception visibility tested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5 · Content / Knowledge / Media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WF-004 + KCKE/Media AI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Source citation, review and approval path validated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6 · Operations Support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WF-010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Inventory, courier and donor notification path validated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7 · Replication Package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WF-013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Platform brief, data model, QA and governance pack accepted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FBE9E7"/>
          <w:left w:val="single" w:sz="4" w:space="0" w:color="FBE9E7"/>
          <w:bottom w:val="single" w:sz="4" w:space="0" w:color="FBE9E7"/>
          <w:right w:val="single" w:sz="4" w:space="0" w:color="FBE9E7"/>
          <w:insideH w:val="single" w:sz="4" w:space="0" w:color="FBE9E7"/>
          <w:insideV w:val="single" w:sz="4" w:space="0" w:color="FBE9E7"/>
        </w:tblBorders>
      </w:tblPr>
      <w:tblGrid>
        <w:gridCol w:w="9792"/>
      </w:tblGrid>
      <w:tr>
        <w:tc>
          <w:tcPr>
            <w:tcW w:type="dxa" w:w="10656"/>
            <w:shd w:val="clear" w:fill="FBE9E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B23120"/>
                <w:sz w:val="20"/>
              </w:rPr>
              <w:t xml:space="preserve">Gate discipline:  </w:t>
            </w:r>
            <w:r>
              <w:rPr>
                <w:sz w:val="20"/>
              </w:rPr>
              <w:t>No scaled go-live without a CRM path, an owner path, dashboard visibility and a verified manual fallback. Use controlled / near-production dummy data when source, owner or approval path is unconfirmed.</w:t>
            </w:r>
          </w:p>
        </w:tc>
      </w:tr>
    </w:tbl>
    <w:p>
      <w:pPr>
        <w:spacing w:after="40"/>
      </w:pPr>
    </w:p>
    <w:p>
      <w:pPr>
        <w:pStyle w:val="Heading1"/>
      </w:pPr>
      <w:r>
        <w:t>8.  The Five End-to-End Journeys</w:t>
      </w:r>
    </w:p>
    <w:p>
      <w:pPr>
        <w:spacing w:after="120"/>
      </w:pPr>
      <w:r>
        <w:rPr>
          <w:b w:val="0"/>
          <w:i w:val="0"/>
          <w:sz w:val="21"/>
        </w:rPr>
        <w:t>The workflows intermingle to form five revenue- and seva-compounding journeys. Each has its own detailed document; the golden journeys below are the platform's acceptance backbone.</w:t>
      </w:r>
    </w:p>
    <w:p>
      <w:pPr>
        <w:pStyle w:val="Heading3"/>
      </w:pPr>
      <w:r>
        <w:t>J1 · Yatra &amp; Pilgrimage Revenue</w:t>
      </w:r>
    </w:p>
    <w:p>
      <w:pPr>
        <w:spacing w:after="120"/>
      </w:pPr>
      <w:r>
        <w:rPr>
          <w:b w:val="0"/>
          <w:i w:val="0"/>
          <w:sz w:val="20"/>
        </w:rPr>
        <w:t>The pilgrimage journey is HKHT's highest-intent revenue path. Optimised end-to-end on shared data, it converts more leads at higher fill and margin, loses nothing to manual chasing, and turns every yatri into a cultivated lifetime donor.</w:t>
      </w:r>
    </w:p>
    <w:p>
      <w:pPr>
        <w:spacing w:after="120"/>
      </w:pPr>
      <w:r>
        <w:rPr>
          <w:b w:val="0"/>
          <w:i/>
          <w:color w:val="5B6473"/>
          <w:sz w:val="18"/>
        </w:rPr>
        <w:t>Workflows: WF-003, WF-002, WF-001, WF-009, WF-010, WF-006, WF-007</w:t>
      </w:r>
    </w:p>
    <w:p>
      <w:pPr>
        <w:spacing w:after="120"/>
      </w:pPr>
      <w:r>
        <w:rPr>
          <w:b w:val="0"/>
          <w:i/>
          <w:sz w:val="18"/>
        </w:rPr>
        <w:t>Golden journey: Digital ad lead → CRM → voice follow-up → Yatra registration → payment → bahumana → donor follow-up</w:t>
      </w:r>
    </w:p>
    <w:p>
      <w:pPr>
        <w:pStyle w:val="Heading3"/>
      </w:pPr>
      <w:r>
        <w:t>J2 · Donor / LLP / CSR Lifetime Value</w:t>
      </w:r>
    </w:p>
    <w:p>
      <w:pPr>
        <w:spacing w:after="120"/>
      </w:pPr>
      <w:r>
        <w:rPr>
          <w:b w:val="0"/>
          <w:i w:val="0"/>
          <w:sz w:val="20"/>
        </w:rPr>
        <w:t>Durable revenue comes from cultivated relationships, not one-off gifts. This journey systematises stewardship across channels so recurring giving, retention and major/CSR gifts compound — while keeping the personal, trust-based core human.</w:t>
      </w:r>
    </w:p>
    <w:p>
      <w:pPr>
        <w:spacing w:after="120"/>
      </w:pPr>
      <w:r>
        <w:rPr>
          <w:b w:val="0"/>
          <w:i/>
          <w:color w:val="5B6473"/>
          <w:sz w:val="18"/>
        </w:rPr>
        <w:t>Workflows: WF-005, WF-003, WF-006, WF-007, WF-009, WF-010, WF-012</w:t>
      </w:r>
    </w:p>
    <w:p>
      <w:pPr>
        <w:spacing w:after="120"/>
      </w:pPr>
      <w:r>
        <w:rPr>
          <w:b w:val="0"/>
          <w:i/>
          <w:sz w:val="18"/>
        </w:rPr>
        <w:t>Golden journey: Donor inquiry / community contact → landing page → payment → receipt → donor cultivation → dashboard</w:t>
      </w:r>
    </w:p>
    <w:p>
      <w:pPr>
        <w:pStyle w:val="Heading3"/>
      </w:pPr>
      <w:r>
        <w:t>J3 · Content, Brand &amp; Communications</w:t>
      </w:r>
    </w:p>
    <w:p>
      <w:pPr>
        <w:spacing w:after="120"/>
      </w:pPr>
      <w:r>
        <w:rPr>
          <w:b w:val="0"/>
          <w:i w:val="0"/>
          <w:sz w:val="20"/>
        </w:rPr>
        <w:t>Content and communications are the demand and trust layer. Source-grounded, fast, on-brand content distributed across optimised channels and pages turns attention into attributed pipeline — safely and at scale.</w:t>
      </w:r>
    </w:p>
    <w:p>
      <w:pPr>
        <w:spacing w:after="120"/>
      </w:pPr>
      <w:r>
        <w:rPr>
          <w:b w:val="0"/>
          <w:i/>
          <w:color w:val="5B6473"/>
          <w:sz w:val="18"/>
        </w:rPr>
        <w:t>Workflows: WF-004, WF-003, WF-005, WF-012, WF-006</w:t>
      </w:r>
    </w:p>
    <w:p>
      <w:pPr>
        <w:spacing w:after="120"/>
      </w:pPr>
      <w:r>
        <w:rPr>
          <w:b w:val="0"/>
          <w:i/>
          <w:sz w:val="18"/>
        </w:rPr>
        <w:t>Golden journey: Content request → KCKE grounding → Media AI / creative → approval → publishing → conversion</w:t>
      </w:r>
    </w:p>
    <w:p>
      <w:pPr>
        <w:pStyle w:val="Heading3"/>
      </w:pPr>
      <w:r>
        <w:t>J4 · Internal Operations &amp; Governance</w:t>
      </w:r>
    </w:p>
    <w:p>
      <w:pPr>
        <w:spacing w:after="120"/>
      </w:pPr>
      <w:r>
        <w:rPr>
          <w:b w:val="0"/>
          <w:i w:val="0"/>
          <w:sz w:val="20"/>
        </w:rPr>
        <w:t>Execution backbone. Decisions become accountable tasks, the right people are in place with captured knowledge, and data/finance governance keeps the platform trustworthy — collapsing managerial chasing and freeing leadership for revenue.</w:t>
      </w:r>
    </w:p>
    <w:p>
      <w:pPr>
        <w:spacing w:after="120"/>
      </w:pPr>
      <w:r>
        <w:rPr>
          <w:b w:val="0"/>
          <w:i/>
          <w:color w:val="5B6473"/>
          <w:sz w:val="18"/>
        </w:rPr>
        <w:t>Workflows: WF-008, WF-011, WF-006, WF-009</w:t>
      </w:r>
    </w:p>
    <w:p>
      <w:pPr>
        <w:spacing w:after="120"/>
      </w:pPr>
      <w:r>
        <w:rPr>
          <w:b w:val="0"/>
          <w:i/>
          <w:sz w:val="18"/>
        </w:rPr>
        <w:t>Golden journey: Meeting decision → ClickUp task → owner follow-up → leadership dashboard</w:t>
      </w:r>
    </w:p>
    <w:p>
      <w:pPr>
        <w:pStyle w:val="Heading3"/>
      </w:pPr>
      <w:r>
        <w:t>J5 · Scale &amp; Replication</w:t>
      </w:r>
    </w:p>
    <w:p>
      <w:pPr>
        <w:spacing w:after="120"/>
      </w:pPr>
      <w:r>
        <w:rPr>
          <w:b w:val="0"/>
          <w:i w:val="0"/>
          <w:sz w:val="20"/>
        </w:rPr>
        <w:t>1000X is realised at the network level. Grassroots community outreach builds deep pipelines; the validated Hyderabad model is then packaged and replicated across centers, compounding revenue and seva far beyond one location.</w:t>
      </w:r>
    </w:p>
    <w:p>
      <w:pPr>
        <w:spacing w:after="120"/>
      </w:pPr>
      <w:r>
        <w:rPr>
          <w:b w:val="0"/>
          <w:i/>
          <w:color w:val="5B6473"/>
          <w:sz w:val="18"/>
        </w:rPr>
        <w:t>Workflows: WF-014, WF-013, WF-006, WF-007</w:t>
      </w:r>
    </w:p>
    <w:p>
      <w:pPr>
        <w:spacing w:after="120"/>
      </w:pPr>
      <w:r>
        <w:rPr>
          <w:b w:val="0"/>
          <w:i/>
          <w:sz w:val="18"/>
        </w:rPr>
        <w:t>Golden journey: Community event → nurture → donation → donor cultivation → packaged module → new center</w:t>
      </w:r>
    </w:p>
    <w:p>
      <w:pPr>
        <w:pStyle w:val="Heading1"/>
      </w:pPr>
      <w:r>
        <w:t>9.  The 1000X Revenue &amp; Seva Model</w:t>
      </w:r>
    </w:p>
    <w:p>
      <w:pPr>
        <w:spacing w:after="120"/>
      </w:pPr>
      <w:r>
        <w:rPr>
          <w:b w:val="0"/>
          <w:i w:val="0"/>
          <w:sz w:val="21"/>
        </w:rPr>
        <w:t>1000X is not one big bet; it is a ladder of compounding leverage. Control and visibility remove leakage (2X); agents remove manual chasing (10X); always-on conversion across channels (30X); all journeys compounding on shared data (100X); and a replicable model plus institutional memory across centers (1000X).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62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lad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3"/>
          <w:sz w:val="17"/>
        </w:rPr>
        <w:t>Figure 9.1 — The compounding leverage ladder.</w:t>
      </w:r>
    </w:p>
    <w:p>
      <w:pPr>
        <w:spacing w:after="120"/>
      </w:pPr>
      <w:r>
        <w:rPr>
          <w:b w:val="0"/>
          <w:i w:val="0"/>
          <w:sz w:val="21"/>
        </w:rPr>
        <w:t>Every workflow contributes specific, measurable levers (detailed in each workflow document). The platform-level outcomes are: zero revenue leakage, always-on conversion, lifetime relationship value, collapsed managerial dependency, and a network effect across replicated centers.</w:t>
      </w:r>
    </w:p>
    <w:p>
      <w:pPr>
        <w:pStyle w:val="Heading1"/>
      </w:pPr>
      <w:r>
        <w:t>10.  Consolidated Integration Registry (Essential Only)</w:t>
      </w:r>
    </w:p>
    <w:p>
      <w:pPr>
        <w:spacing w:after="120"/>
      </w:pPr>
      <w:r>
        <w:rPr>
          <w:b w:val="0"/>
          <w:i w:val="0"/>
          <w:sz w:val="21"/>
        </w:rPr>
        <w:t>Integrations are deliberately minimal — built only where essential, each with a confirmed/pending status and a manual fallback. The dialer is moved to Twilio in place of unsupported tools such as Hello Leads; this is a small, intentional swap, not a headline.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86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3"/>
          <w:sz w:val="17"/>
        </w:rPr>
        <w:t>Figure 10.1 — Essential integration 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3456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144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168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Fallback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CRM / DBMS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CRM/DBMS platform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CSV + manual import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DCC / Dhananjaya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DCC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Export reconciliation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Payment gateways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Razorpay/PayU/Cashfree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Manual status upload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WhatsApp BSP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Interakt/Karix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Manual messaging queue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Voice — Twilio*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Twilio (replaces Hello Leads)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Manual call sheet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Google / Meta Ads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Google Ads · Meta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Manual report export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Website / landing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CMS / landing platform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Form + sheet capture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Looker / BigQuery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Google Cloud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P0/P1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Sheets dashboard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Gemini / Vertex AI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Google AI stack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Human draft-only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ClickUp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ClickUp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Manual task upload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ERP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ERP platform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ERP-ready interim fields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Courier APIs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Courier providers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Manual courier sheet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HRMS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Keka/GreytHR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CSV export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Tally / GST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Tally / GST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Manual reconciliation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B6473"/>
          <w:sz w:val="17"/>
        </w:rPr>
        <w:t>*Twilio replaces unsupported dialers (e.g. Hello Leads) — a minor component, intentionally not highlighted.</w:t>
      </w:r>
    </w:p>
    <w:p>
      <w:pPr>
        <w:pStyle w:val="Heading1"/>
      </w:pPr>
      <w:r>
        <w:t>11.  Leadership Command Center</w:t>
      </w:r>
    </w:p>
    <w:p>
      <w:pPr>
        <w:spacing w:after="120"/>
      </w:pPr>
      <w:r>
        <w:rPr>
          <w:b w:val="0"/>
          <w:i w:val="0"/>
          <w:sz w:val="21"/>
        </w:rPr>
        <w:t>One Looker Studio executive view aggregates the whole platform into a daily briefing. Every headline KPI drills into workflow, owner, record, source and next action; exceptions show severity, owner, due date and suggested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Dashboard block</w:t>
            </w:r>
          </w:p>
        </w:tc>
        <w:tc>
          <w:tcPr>
            <w:tcW w:type="dxa" w:w="4464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Headline KPIs</w:t>
            </w:r>
          </w:p>
        </w:tc>
        <w:tc>
          <w:tcPr>
            <w:tcW w:type="dxa" w:w="360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Decision enabled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Revenue Health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Donations, Yatra &amp; campaign revenue, pending payments, receipt exceptions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Where revenue is rising, stuck or at risk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Yatra Fill Rates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Capacity, registrations, paid status, waiting list, docs pending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Which Yatra needs follow-up or promotion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Donor Pipeline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Major-donor leads, meetings, proposals, follow-up due, aging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Which relationship needs action today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Campaign ROI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Spend, leads, CPL, conversion, revenue attribution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Which campaigns to scale, pause or adjust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Voice / Call Follow-up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Calls done, callbacks due, hot leads, handoffs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Which leads need human attention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Community Funnel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Communities, permissions, events, contacts, nurture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Which communities convert best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Website Conversion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Page health, forms, payment links, conversion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Which pages block conversion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7"/>
              </w:rPr>
              <w:t>Approvals &amp; Delays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Pending approvals, overdue tasks, bottlenecks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7"/>
              </w:rPr>
              <w:t>What needs leadership decision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7"/>
              </w:rPr>
              <w:t>Productivity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Manual effort reduced, follow-up aging, task leakage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Whether managerial load is reducing</w:t>
            </w:r>
          </w:p>
        </w:tc>
      </w:tr>
    </w:tbl>
    <w:p>
      <w:pPr>
        <w:spacing w:after="40"/>
      </w:pPr>
    </w:p>
    <w:p>
      <w:pPr>
        <w:pStyle w:val="Heading1"/>
      </w:pPr>
      <w:r>
        <w:t>12.  Governance, Trust &amp; Human-in-the-Loop</w:t>
      </w:r>
    </w:p>
    <w:p>
      <w:pPr>
        <w:spacing w:after="120"/>
      </w:pPr>
      <w:r>
        <w:rPr>
          <w:b w:val="0"/>
          <w:i w:val="0"/>
          <w:sz w:val="21"/>
        </w:rPr>
        <w:t>AI prepares decision-quality context; humans decide on sensitive actions. Approvals are traceable via Task_ID, review status and decision-log entries. Every workflow validates owner, performer, approver, backup and escalation path before production routing.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538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g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5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3"/>
          <w:sz w:val="17"/>
        </w:rPr>
        <w:t>Figure 12.1 — The platform-wide human approval gates.</w:t>
      </w:r>
    </w:p>
    <w:p>
      <w:pPr>
        <w:pStyle w:val="Heading2"/>
      </w:pPr>
      <w:r>
        <w:t>Approval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4896"/>
        <w:gridCol w:w="4896"/>
      </w:tblGrid>
      <w:tr>
        <w:tc>
          <w:tcPr>
            <w:tcW w:type="dxa" w:w="3744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Decision type</w:t>
            </w:r>
          </w:p>
        </w:tc>
        <w:tc>
          <w:tcPr>
            <w:tcW w:type="dxa" w:w="6912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Routing rule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Donor-sensitive communication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AI may draft; validated donor approver approves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Financial / payment correction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No automated correction without finance approval trail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Public communication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Publish only after review status is approved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Devotional / philosophical content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KCKE grounding + qualified content approver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Deity / media representation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Approved asset + media/content approver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HR / procurement decision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AI prepares context; human decides</w:t>
            </w:r>
          </w:p>
        </w:tc>
      </w:tr>
    </w:tbl>
    <w:p>
      <w:pPr>
        <w:spacing w:after="40"/>
      </w:pPr>
    </w:p>
    <w:p>
      <w:pPr>
        <w:pStyle w:val="Heading1"/>
      </w:pPr>
      <w:r>
        <w:t>13.  Service Continuity &amp; Fallback</w:t>
      </w:r>
    </w:p>
    <w:p>
      <w:pPr>
        <w:spacing w:after="120"/>
      </w:pPr>
      <w:r>
        <w:rPr>
          <w:b w:val="0"/>
          <w:i w:val="0"/>
          <w:sz w:val="21"/>
        </w:rPr>
        <w:t>If automation, an API or a dashboard is unavailable, each workflow degrades to a defined manual path with daily reconciliation. Donor-facing continuity (payment, receipt, sensitive messages) has priority; no manually captured record bypasses later reconciliation; fallback status is shown on dashboards. A five-step post-incident review (capture, contain, reconcile, correct, verify) closes every event.</w:t>
      </w:r>
    </w:p>
    <w:p>
      <w:pPr>
        <w:pStyle w:val="Heading1"/>
      </w:pPr>
      <w:r>
        <w:t>14.  Knowledge (KCKE) &amp; Media AI Boundaries</w:t>
      </w:r>
    </w:p>
    <w:p>
      <w:pPr>
        <w:spacing w:after="120"/>
      </w:pPr>
      <w:r>
        <w:rPr>
          <w:b w:val="0"/>
          <w:i w:val="0"/>
          <w:sz w:val="21"/>
        </w:rPr>
        <w:t>Spiritual knowledge, media generation, CRM and ERP data are kept separate with defined interfaces. KCKE supplies scriptural references, citations and donor narratives with source IDs and approval status; the Media AI pipeline produces scene-level storyboards and assets that always require human approval before public use. CRM/ERP never store raw spiritual content beyond approved links and metadata.</w:t>
      </w:r>
    </w:p>
    <w:p>
      <w:pPr>
        <w:pStyle w:val="Heading1"/>
      </w:pPr>
      <w:r>
        <w:t>15.  Institutional Memory, Voice Readiness &amp; Productivity Baseline</w:t>
      </w:r>
    </w:p>
    <w:p>
      <w:pPr>
        <w:pStyle w:val="ListBullet"/>
        <w:spacing w:after="40"/>
      </w:pPr>
      <w:r>
        <w:rPr>
          <w:b/>
          <w:sz w:val="21"/>
        </w:rPr>
        <w:t xml:space="preserve">Institutional memory: </w:t>
      </w:r>
      <w:r>
        <w:rPr>
          <w:sz w:val="21"/>
        </w:rPr>
        <w:t>Capture Mukund Prabhu's judgment (donor, Yatra pricing, escalation, vendor, content, CSR, community, campaign) as decision trees and guardrails exposed through copilots — not uncontrolled AI output.</w:t>
      </w:r>
    </w:p>
    <w:p>
      <w:pPr>
        <w:pStyle w:val="ListBullet"/>
        <w:spacing w:after="40"/>
      </w:pPr>
      <w:r>
        <w:rPr>
          <w:b/>
          <w:sz w:val="21"/>
        </w:rPr>
        <w:t xml:space="preserve">Voice &amp; calling readiness: </w:t>
      </w:r>
      <w:r>
        <w:rPr>
          <w:sz w:val="21"/>
        </w:rPr>
        <w:t>Scaled calling launches only after source verification, DND/suppression checks, dedupe, approved scripts (with version control) and mapped outcome codes — Green/Amber/Red risk gating.</w:t>
      </w:r>
    </w:p>
    <w:p>
      <w:pPr>
        <w:pStyle w:val="ListBullet"/>
        <w:spacing w:after="40"/>
      </w:pPr>
      <w:r>
        <w:rPr>
          <w:b/>
          <w:sz w:val="21"/>
        </w:rPr>
        <w:t xml:space="preserve">Productivity baseline: </w:t>
      </w:r>
      <w:r>
        <w:rPr>
          <w:sz w:val="21"/>
        </w:rPr>
        <w:t>Measure manual chasing, approval aging, manual reports, follow-up delay, task leakage and revenue leakage; target reductions at Day 30/60/75 and track Mukund Prabhu dependency on operational items downward.</w:t>
      </w:r>
    </w:p>
    <w:p>
      <w:pPr>
        <w:pStyle w:val="Heading1"/>
      </w:pPr>
      <w:r>
        <w:t>16.  Delivery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53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3"/>
          <w:sz w:val="17"/>
        </w:rPr>
        <w:t>Figure 16.1 — 30 / 60 / 75-day operating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4896"/>
        <w:gridCol w:w="4896"/>
      </w:tblGrid>
      <w:tr>
        <w:tc>
          <w:tcPr>
            <w:tcW w:type="dxa" w:w="288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776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Operating focus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30-Day Production Base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Integrated MVPs, live use, dashboards, approval routing, source tracking, exception flow, production-readiness review.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60-Day Stabilization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Hardening, adoption, data-quality lift, workflow tuning, API maturity, KPI discipline, issue closure.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75-Day Enterprise Scale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Enterprise-scale readiness, advanced integration, multi-workflow maturity, command-center intelligence, reusable module packaging.</w:t>
            </w:r>
          </w:p>
        </w:tc>
      </w:tr>
    </w:tbl>
    <w:p>
      <w:pPr>
        <w:spacing w:after="40"/>
      </w:pPr>
    </w:p>
    <w:p>
      <w:pPr>
        <w:pStyle w:val="Heading1"/>
      </w:pPr>
      <w:r>
        <w:t>17.  Key Risks &amp; Open Validations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2"/>
          <w:left w:val="single" w:sz="4" w:space="0" w:color="C9D2E2"/>
          <w:bottom w:val="single" w:sz="4" w:space="0" w:color="C9D2E2"/>
          <w:right w:val="single" w:sz="4" w:space="0" w:color="C9D2E2"/>
          <w:insideH w:val="single" w:sz="4" w:space="0" w:color="C9D2E2"/>
          <w:insideV w:val="single" w:sz="4" w:space="0" w:color="C9D2E2"/>
        </w:tblBorders>
      </w:tblPr>
      <w:tblGrid>
        <w:gridCol w:w="4896"/>
        <w:gridCol w:w="4896"/>
      </w:tblGrid>
      <w:tr>
        <w:tc>
          <w:tcPr>
            <w:tcW w:type="dxa" w:w="4320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336"/>
            <w:shd w:val="clear" w:fill="1B2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CRM data quality incomplete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Run WF-006 first; CSV fallback only with shared IDs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WhatsApp template/provider readiness unknown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Use WhatsApp Governance Register; approve templates early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API access not confirmed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Use API registry with confirmed/pending/fallback status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Payment/receipt exceptions affect donor trust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Separate financial exception visibility + manual correction path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B2559"/>
                <w:sz w:val="18"/>
              </w:rPr>
              <w:t>Role ownership outdated/unclear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RACI verification; route only to validated owners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b/>
                <w:color w:val="1B2559"/>
                <w:sz w:val="18"/>
              </w:rPr>
              <w:t>Cold calling-list quality / DND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fill="EDEFF4"/>
          </w:tcPr>
          <w:p>
            <w:r>
              <w:rPr>
                <w:sz w:val="18"/>
              </w:rPr>
              <w:t>TRAI/DND audit, dedupe and Green/Amber/Red gating before scale</w:t>
            </w:r>
          </w:p>
        </w:tc>
      </w:tr>
    </w:tbl>
    <w:p>
      <w:pPr>
        <w:spacing w:after="40"/>
      </w:pPr>
    </w:p>
    <w:p>
      <w:pPr>
        <w:pStyle w:val="Heading1"/>
      </w:pPr>
      <w:r>
        <w:t>18.  Document Package Index</w:t>
      </w:r>
    </w:p>
    <w:p>
      <w:pPr>
        <w:spacing w:after="120"/>
      </w:pPr>
      <w:r>
        <w:rPr>
          <w:b w:val="0"/>
          <w:i w:val="0"/>
          <w:sz w:val="21"/>
        </w:rPr>
        <w:t>This blueprint is accompanied by 14 workflow documents and 5 journey documents:</w:t>
      </w:r>
    </w:p>
    <w:p>
      <w:pPr>
        <w:pStyle w:val="ListBullet"/>
        <w:spacing w:after="40"/>
      </w:pPr>
      <w:r>
        <w:rPr>
          <w:b/>
          <w:sz w:val="21"/>
        </w:rPr>
        <w:t xml:space="preserve">Workflow documents: </w:t>
      </w:r>
      <w:r>
        <w:rPr>
          <w:sz w:val="21"/>
        </w:rPr>
        <w:t>WF-001 … WF-014 — one detailed, build-ready, 1000X-optimized document each (folder 01_Workflows).</w:t>
      </w:r>
    </w:p>
    <w:p>
      <w:pPr>
        <w:pStyle w:val="ListBullet"/>
        <w:spacing w:after="40"/>
      </w:pPr>
      <w:r>
        <w:rPr>
          <w:b/>
          <w:sz w:val="21"/>
        </w:rPr>
        <w:t xml:space="preserve">Journey documents: </w:t>
      </w:r>
      <w:r>
        <w:rPr>
          <w:sz w:val="21"/>
        </w:rPr>
        <w:t>J1 Yatra Revenue · J2 Donor/LLP/CSR LTV · J3 Content/Brand/Comms · J4 Internal Ops &amp; Governance · J5 Scale &amp; Replication (folder 02_Journeys).</w:t>
      </w:r>
    </w:p>
    <w:p>
      <w:pPr>
        <w:pStyle w:val="ListBullet"/>
        <w:spacing w:after="40"/>
      </w:pPr>
      <w:r>
        <w:rPr>
          <w:b/>
          <w:sz w:val="21"/>
        </w:rPr>
        <w:t xml:space="preserve">This document: </w:t>
      </w:r>
      <w:r>
        <w:rPr>
          <w:sz w:val="21"/>
        </w:rPr>
        <w:t>Master Consolidated Blueprint — the whole picture.</w:t>
      </w:r>
    </w:p>
    <w:p>
      <w:pPr>
        <w:spacing w:after="120"/>
      </w:pPr>
      <w:r>
        <w:rPr>
          <w:b w:val="0"/>
          <w:i/>
          <w:color w:val="5B6473"/>
          <w:sz w:val="18"/>
        </w:rPr>
        <w:t>Source basis: the 14 workflow Document-B briefs, the 13 platform-governance documents, the automation master register and the platform architecture brief.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B6473"/>
        <w:sz w:val="16"/>
      </w:rPr>
      <w:t>HKHT AI for Seva · Master Consolidated Blueprint · Confidential</w:t>
    </w:r>
  </w:p>
  <w:p>
    <w:pPr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5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BD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7C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