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B40CB" w14:textId="77777777" w:rsidR="008548EA" w:rsidRDefault="00000000">
      <w:pPr>
        <w:spacing w:before="1800" w:after="200"/>
        <w:jc w:val="center"/>
      </w:pPr>
      <w:r>
        <w:rPr>
          <w:b/>
          <w:bCs/>
          <w:color w:val="B5121B"/>
          <w:sz w:val="52"/>
          <w:szCs w:val="52"/>
        </w:rPr>
        <w:t>ADANI GROUP</w:t>
      </w:r>
    </w:p>
    <w:p w14:paraId="72318F8D" w14:textId="77777777" w:rsidR="008548EA" w:rsidRDefault="00000000">
      <w:pPr>
        <w:spacing w:after="160"/>
        <w:jc w:val="center"/>
      </w:pPr>
      <w:r>
        <w:rPr>
          <w:b/>
          <w:bCs/>
          <w:color w:val="2C3E50"/>
          <w:sz w:val="40"/>
          <w:szCs w:val="40"/>
        </w:rPr>
        <w:t>Crisis, Recovery &amp; Diversified Growth</w:t>
      </w:r>
    </w:p>
    <w:p w14:paraId="725CFA59" w14:textId="0A535E92" w:rsidR="008548EA" w:rsidRDefault="00000000">
      <w:pPr>
        <w:spacing w:after="80"/>
        <w:jc w:val="center"/>
      </w:pPr>
      <w:r>
        <w:rPr>
          <w:color w:val="555555"/>
          <w:sz w:val="28"/>
          <w:szCs w:val="28"/>
        </w:rPr>
        <w:t>A Comprehensive Analytical Report</w:t>
      </w:r>
      <w:r w:rsidR="00C45A5C">
        <w:rPr>
          <w:color w:val="555555"/>
          <w:sz w:val="28"/>
          <w:szCs w:val="28"/>
        </w:rPr>
        <w:t xml:space="preserve"> (Case Study)</w:t>
      </w:r>
    </w:p>
    <w:p w14:paraId="73FD1859" w14:textId="77777777" w:rsidR="008548EA" w:rsidRDefault="00000000">
      <w:pPr>
        <w:spacing w:before="200"/>
        <w:jc w:val="center"/>
      </w:pPr>
      <w:r>
        <w:rPr>
          <w:color w:val="777777"/>
        </w:rPr>
        <w:t>Including Financial Statements · Cash Flow Analysis . Balance sheet</w:t>
      </w:r>
    </w:p>
    <w:p w14:paraId="4F9BFD73" w14:textId="77777777" w:rsidR="008548EA" w:rsidRDefault="00000000">
      <w:pPr>
        <w:spacing w:before="600"/>
        <w:jc w:val="center"/>
      </w:pPr>
      <w:r>
        <w:rPr>
          <w:color w:val="555555"/>
        </w:rPr>
        <w:t>FY 2019 – FY 2026</w:t>
      </w:r>
    </w:p>
    <w:p w14:paraId="2E570D01" w14:textId="77777777" w:rsidR="008548EA" w:rsidRDefault="00000000">
      <w:r>
        <w:br w:type="page"/>
      </w:r>
    </w:p>
    <w:p w14:paraId="5C9AAC3D" w14:textId="77777777" w:rsidR="008548EA" w:rsidRDefault="00000000">
      <w:pPr>
        <w:pStyle w:val="Heading1"/>
      </w:pPr>
      <w:r>
        <w:lastRenderedPageBreak/>
        <w:t>1. Executive Overview</w:t>
      </w:r>
    </w:p>
    <w:p w14:paraId="34CE87F0" w14:textId="77777777" w:rsidR="008548EA" w:rsidRDefault="00000000">
      <w:pPr>
        <w:spacing w:before="60" w:after="60" w:line="320" w:lineRule="auto"/>
      </w:pPr>
      <w:r>
        <w:t>The Adani Group is an India-based infrastructure conglomerate spanning ports, power, renewable energy, transmission, gas distribution, airports, cement, mining, and data centres. Like Tesla, its history has been shaped by repeated shocks — high debt levels, the 2023 Hindenburg short-seller report, and US bribery charges — each followed by a strong recovery. This report covers each episode, the recovery that followed, and where the Group stands financially today.</w:t>
      </w:r>
    </w:p>
    <w:p w14:paraId="7241CB9D" w14:textId="77777777" w:rsidR="008548EA" w:rsidRDefault="008548EA">
      <w:pPr>
        <w:spacing w:after="100"/>
      </w:pPr>
    </w:p>
    <w:p w14:paraId="612D4689" w14:textId="77777777" w:rsidR="008548EA" w:rsidRDefault="00000000">
      <w:pPr>
        <w:pStyle w:val="Heading2"/>
        <w:pBdr>
          <w:bottom w:val="single" w:sz="4" w:space="4" w:color="CCCCCC"/>
        </w:pBdr>
      </w:pPr>
      <w:r>
        <w:t>1.1 FY25 Financial Snapshot (Adani Portfolio, Consolidated)</w:t>
      </w:r>
    </w:p>
    <w:p w14:paraId="20F7E364" w14:textId="77777777" w:rsidR="008548EA" w:rsidRDefault="008548EA">
      <w:pPr>
        <w:spacing w:after="50"/>
      </w:pPr>
    </w:p>
    <w:tbl>
      <w:tblPr>
        <w:tblStyle w:val="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8548EA" w14:paraId="4446E5F2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D8DA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0DB4333" w14:textId="77777777" w:rsidR="008548EA" w:rsidRDefault="00000000">
            <w:pPr>
              <w:jc w:val="center"/>
              <w:rPr>
                <w:color w:val="0D0D0D"/>
              </w:rPr>
            </w:pPr>
            <w:r>
              <w:rPr>
                <w:color w:val="0D0D0D"/>
                <w:sz w:val="18"/>
                <w:szCs w:val="18"/>
              </w:rPr>
              <w:t>EBITDA (FY25)</w:t>
            </w:r>
          </w:p>
          <w:p w14:paraId="56ADED7E" w14:textId="77777777" w:rsidR="008548EA" w:rsidRDefault="00000000">
            <w:pPr>
              <w:spacing w:before="40" w:after="20"/>
              <w:jc w:val="center"/>
              <w:rPr>
                <w:color w:val="0D0D0D"/>
              </w:rPr>
            </w:pPr>
            <w:r>
              <w:rPr>
                <w:b/>
                <w:bCs/>
                <w:color w:val="0D0D0D"/>
                <w:sz w:val="30"/>
                <w:szCs w:val="30"/>
              </w:rPr>
              <w:t>₹89,806 Cr</w:t>
            </w:r>
          </w:p>
          <w:p w14:paraId="697CDF2D" w14:textId="77777777" w:rsidR="008548EA" w:rsidRDefault="00000000">
            <w:pPr>
              <w:jc w:val="center"/>
              <w:rPr>
                <w:color w:val="0D0D0D"/>
              </w:rPr>
            </w:pPr>
            <w:r>
              <w:rPr>
                <w:color w:val="0D0D0D"/>
                <w:sz w:val="17"/>
                <w:szCs w:val="17"/>
              </w:rPr>
              <w:t>~$10.5B · all-time high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D8DA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768AAA78" w14:textId="77777777" w:rsidR="008548EA" w:rsidRDefault="00000000">
            <w:pPr>
              <w:jc w:val="center"/>
              <w:rPr>
                <w:color w:val="0D0D0D"/>
              </w:rPr>
            </w:pPr>
            <w:r>
              <w:rPr>
                <w:color w:val="0D0D0D"/>
                <w:sz w:val="18"/>
                <w:szCs w:val="18"/>
              </w:rPr>
              <w:t>Net Profit / PAT (FY25)</w:t>
            </w:r>
          </w:p>
          <w:p w14:paraId="40BAB7BA" w14:textId="77777777" w:rsidR="008548EA" w:rsidRDefault="00000000">
            <w:pPr>
              <w:spacing w:before="40" w:after="20"/>
              <w:jc w:val="center"/>
              <w:rPr>
                <w:color w:val="0D0D0D"/>
              </w:rPr>
            </w:pPr>
            <w:r>
              <w:rPr>
                <w:b/>
                <w:bCs/>
                <w:color w:val="0D0D0D"/>
                <w:sz w:val="30"/>
                <w:szCs w:val="30"/>
              </w:rPr>
              <w:t>₹40,565 Cr</w:t>
            </w:r>
          </w:p>
          <w:p w14:paraId="56273768" w14:textId="77777777" w:rsidR="008548EA" w:rsidRDefault="00000000">
            <w:pPr>
              <w:jc w:val="center"/>
              <w:rPr>
                <w:color w:val="0D0D0D"/>
              </w:rPr>
            </w:pPr>
            <w:r>
              <w:rPr>
                <w:color w:val="0D0D0D"/>
                <w:sz w:val="17"/>
                <w:szCs w:val="17"/>
              </w:rPr>
              <w:t>~$4.7B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D8DA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9856CA5" w14:textId="77777777" w:rsidR="008548EA" w:rsidRDefault="00000000">
            <w:pPr>
              <w:jc w:val="center"/>
              <w:rPr>
                <w:color w:val="0D0D0D"/>
              </w:rPr>
            </w:pPr>
            <w:r>
              <w:rPr>
                <w:color w:val="0D0D0D"/>
                <w:sz w:val="18"/>
                <w:szCs w:val="18"/>
              </w:rPr>
              <w:t>Gross Assets</w:t>
            </w:r>
          </w:p>
          <w:p w14:paraId="4EA5C3F1" w14:textId="77777777" w:rsidR="008548EA" w:rsidRDefault="00000000">
            <w:pPr>
              <w:spacing w:before="40" w:after="20"/>
              <w:jc w:val="center"/>
              <w:rPr>
                <w:color w:val="0D0D0D"/>
              </w:rPr>
            </w:pPr>
            <w:r>
              <w:rPr>
                <w:b/>
                <w:bCs/>
                <w:color w:val="0D0D0D"/>
                <w:sz w:val="30"/>
                <w:szCs w:val="30"/>
              </w:rPr>
              <w:t>₹6.1 Lakh Cr</w:t>
            </w:r>
          </w:p>
          <w:p w14:paraId="485AD1C3" w14:textId="77777777" w:rsidR="008548EA" w:rsidRDefault="00000000">
            <w:pPr>
              <w:jc w:val="center"/>
              <w:rPr>
                <w:color w:val="0D0D0D"/>
              </w:rPr>
            </w:pPr>
            <w:r>
              <w:rPr>
                <w:color w:val="0D0D0D"/>
                <w:sz w:val="17"/>
                <w:szCs w:val="17"/>
              </w:rPr>
              <w:t>~$71.2B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D8DA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F2DFE2E" w14:textId="77777777" w:rsidR="008548EA" w:rsidRDefault="00000000">
            <w:pPr>
              <w:jc w:val="center"/>
              <w:rPr>
                <w:color w:val="0D0D0D"/>
              </w:rPr>
            </w:pPr>
            <w:r>
              <w:rPr>
                <w:color w:val="0D0D0D"/>
                <w:sz w:val="18"/>
                <w:szCs w:val="18"/>
              </w:rPr>
              <w:t>Net Debt / EBITDA</w:t>
            </w:r>
          </w:p>
          <w:p w14:paraId="027D0A79" w14:textId="77777777" w:rsidR="008548EA" w:rsidRDefault="00000000">
            <w:pPr>
              <w:spacing w:before="40" w:after="20"/>
              <w:jc w:val="center"/>
              <w:rPr>
                <w:color w:val="0D0D0D"/>
              </w:rPr>
            </w:pPr>
            <w:r>
              <w:rPr>
                <w:b/>
                <w:bCs/>
                <w:color w:val="0D0D0D"/>
                <w:sz w:val="30"/>
                <w:szCs w:val="30"/>
              </w:rPr>
              <w:t>2.6x</w:t>
            </w:r>
          </w:p>
          <w:p w14:paraId="12077CAE" w14:textId="77777777" w:rsidR="008548EA" w:rsidRDefault="00000000">
            <w:pPr>
              <w:jc w:val="center"/>
              <w:rPr>
                <w:color w:val="0D0D0D"/>
              </w:rPr>
            </w:pPr>
            <w:r>
              <w:rPr>
                <w:color w:val="0D0D0D"/>
                <w:sz w:val="17"/>
                <w:szCs w:val="17"/>
              </w:rPr>
              <w:t>Down from 3.8x in FY19</w:t>
            </w:r>
          </w:p>
        </w:tc>
      </w:tr>
    </w:tbl>
    <w:p w14:paraId="6EF0515F" w14:textId="77777777" w:rsidR="008548EA" w:rsidRDefault="008548EA">
      <w:pPr>
        <w:spacing w:after="100"/>
      </w:pPr>
    </w:p>
    <w:p w14:paraId="146EAF43" w14:textId="77777777" w:rsidR="008548EA" w:rsidRDefault="00000000">
      <w:pPr>
        <w:spacing w:before="60" w:after="60" w:line="320" w:lineRule="auto"/>
      </w:pPr>
      <w:r>
        <w:rPr>
          <w:i/>
          <w:iCs/>
          <w:color w:val="555555"/>
          <w:sz w:val="19"/>
          <w:szCs w:val="19"/>
        </w:rPr>
        <w:t>Note: The Adani Group is made up of several separately listed companies (Adani Enterprises, Adani Ports &amp; SEZ, Adani Power, Adani Green Energy, Adani Energy Solutions, Adani Total Gas, Ambuja Cements). Figures above are the combined 'Adani Portfolio' numbers from the Group's FY25 Results &amp; Credit Compendium.</w:t>
      </w:r>
    </w:p>
    <w:p w14:paraId="754659A7" w14:textId="77777777" w:rsidR="008548EA" w:rsidRDefault="008548EA">
      <w:pPr>
        <w:spacing w:after="100"/>
      </w:pPr>
    </w:p>
    <w:p w14:paraId="26EA6457" w14:textId="77777777" w:rsidR="008548EA" w:rsidRDefault="00000000">
      <w:pPr>
        <w:pStyle w:val="Heading1"/>
      </w:pPr>
      <w:r>
        <w:t>2. Major Downfalls &amp; Recovery Timeline</w:t>
      </w:r>
    </w:p>
    <w:p w14:paraId="09181D13" w14:textId="77777777" w:rsidR="008548EA" w:rsidRDefault="008548EA">
      <w:pPr>
        <w:spacing w:after="50"/>
      </w:pPr>
    </w:p>
    <w:tbl>
      <w:tblPr>
        <w:tblStyle w:val="a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00"/>
        <w:gridCol w:w="2600"/>
        <w:gridCol w:w="2400"/>
        <w:gridCol w:w="2960"/>
      </w:tblGrid>
      <w:tr w:rsidR="008548EA" w14:paraId="14A56C5F" w14:textId="77777777">
        <w:trPr>
          <w:tblHeader/>
        </w:trPr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200F9B" w14:textId="77777777" w:rsidR="008548EA" w:rsidRDefault="00000000">
            <w:r>
              <w:rPr>
                <w:b/>
                <w:bCs/>
                <w:color w:val="FFFFFF"/>
                <w:sz w:val="20"/>
                <w:szCs w:val="20"/>
              </w:rPr>
              <w:t>Period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03A5DE" w14:textId="77777777" w:rsidR="008548EA" w:rsidRDefault="00000000">
            <w:r>
              <w:rPr>
                <w:b/>
                <w:bCs/>
                <w:color w:val="FFFFFF"/>
                <w:sz w:val="20"/>
                <w:szCs w:val="20"/>
              </w:rPr>
              <w:t>Crisis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FF1986" w14:textId="77777777" w:rsidR="008548EA" w:rsidRDefault="00000000">
            <w:r>
              <w:rPr>
                <w:b/>
                <w:bCs/>
                <w:color w:val="FFFFFF"/>
                <w:sz w:val="20"/>
                <w:szCs w:val="20"/>
              </w:rPr>
              <w:t>Primary Cause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832EC2" w14:textId="77777777" w:rsidR="008548EA" w:rsidRDefault="00000000">
            <w:r>
              <w:rPr>
                <w:b/>
                <w:bCs/>
                <w:color w:val="FFFFFF"/>
                <w:sz w:val="20"/>
                <w:szCs w:val="20"/>
              </w:rPr>
              <w:t>Outcome</w:t>
            </w:r>
          </w:p>
        </w:tc>
      </w:tr>
      <w:tr w:rsidR="008548EA" w14:paraId="6258896E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3B2C37" w14:textId="77777777" w:rsidR="008548EA" w:rsidRDefault="00000000">
            <w:r>
              <w:rPr>
                <w:sz w:val="20"/>
                <w:szCs w:val="20"/>
              </w:rPr>
              <w:t>2013–2018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1BFA31" w14:textId="77777777" w:rsidR="008548EA" w:rsidRDefault="00000000">
            <w:r>
              <w:rPr>
                <w:sz w:val="20"/>
                <w:szCs w:val="20"/>
              </w:rPr>
              <w:t>High leverage concerns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5A1D30" w14:textId="77777777" w:rsidR="008548EA" w:rsidRDefault="00000000">
            <w:r>
              <w:rPr>
                <w:sz w:val="20"/>
                <w:szCs w:val="20"/>
              </w:rPr>
              <w:t>Aggressive infra debt-funded expansion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1EB027" w14:textId="77777777" w:rsidR="008548EA" w:rsidRDefault="00000000">
            <w:r>
              <w:rPr>
                <w:sz w:val="20"/>
                <w:szCs w:val="20"/>
              </w:rPr>
              <w:t>Gradual deleveraging; asset monetisation</w:t>
            </w:r>
          </w:p>
        </w:tc>
      </w:tr>
      <w:tr w:rsidR="008548EA" w14:paraId="4B00196F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EBE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9D22D0" w14:textId="77777777" w:rsidR="008548EA" w:rsidRDefault="00000000">
            <w:r>
              <w:rPr>
                <w:sz w:val="20"/>
                <w:szCs w:val="20"/>
              </w:rPr>
              <w:t>Jan 2023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EBE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4D8E4F" w14:textId="77777777" w:rsidR="008548EA" w:rsidRDefault="00000000">
            <w:r>
              <w:rPr>
                <w:sz w:val="20"/>
                <w:szCs w:val="20"/>
              </w:rPr>
              <w:t>Hindenburg Research report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EBE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593334" w14:textId="77777777" w:rsidR="008548EA" w:rsidRDefault="00000000">
            <w:r>
              <w:rPr>
                <w:sz w:val="20"/>
                <w:szCs w:val="20"/>
              </w:rPr>
              <w:t>Allegations of stock manipulation &amp; accounting fraud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EBE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0E4F2D" w14:textId="77777777" w:rsidR="008548EA" w:rsidRDefault="00000000">
            <w:r>
              <w:rPr>
                <w:sz w:val="20"/>
                <w:szCs w:val="20"/>
              </w:rPr>
              <w:t>FPO withdrawn; sharp but partial market-cap recovery began by mid-2023</w:t>
            </w:r>
          </w:p>
        </w:tc>
      </w:tr>
      <w:tr w:rsidR="008548EA" w14:paraId="053B4692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DC97FB" w14:textId="77777777" w:rsidR="008548EA" w:rsidRDefault="00000000">
            <w:r>
              <w:rPr>
                <w:sz w:val="20"/>
                <w:szCs w:val="20"/>
              </w:rPr>
              <w:t>2023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BF5E29" w14:textId="77777777" w:rsidR="008548EA" w:rsidRDefault="00000000">
            <w:r>
              <w:rPr>
                <w:sz w:val="20"/>
                <w:szCs w:val="20"/>
              </w:rPr>
              <w:t>SEBI &amp; Supreme Court scrutiny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8C2CE7" w14:textId="77777777" w:rsidR="008548EA" w:rsidRDefault="00000000">
            <w:r>
              <w:rPr>
                <w:sz w:val="20"/>
                <w:szCs w:val="20"/>
              </w:rPr>
              <w:t>Regulatory investigation into allegations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A363DF" w14:textId="77777777" w:rsidR="008548EA" w:rsidRDefault="00000000">
            <w:r>
              <w:rPr>
                <w:sz w:val="20"/>
                <w:szCs w:val="20"/>
              </w:rPr>
              <w:t>Supreme Court found no grounds for further probes beyond SEBI's ongoing review</w:t>
            </w:r>
          </w:p>
        </w:tc>
      </w:tr>
      <w:tr w:rsidR="008548EA" w14:paraId="2E71D573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EBE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0EF95F" w14:textId="77777777" w:rsidR="008548EA" w:rsidRDefault="00000000">
            <w:r>
              <w:rPr>
                <w:sz w:val="20"/>
                <w:szCs w:val="20"/>
              </w:rPr>
              <w:t>Nov 2024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EBE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81A367" w14:textId="77777777" w:rsidR="008548EA" w:rsidRDefault="00000000">
            <w:r>
              <w:rPr>
                <w:sz w:val="20"/>
                <w:szCs w:val="20"/>
              </w:rPr>
              <w:t>US DOJ/SEC indictment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EBE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6683DB" w14:textId="77777777" w:rsidR="008548EA" w:rsidRDefault="00000000">
            <w:r>
              <w:rPr>
                <w:sz w:val="20"/>
                <w:szCs w:val="20"/>
              </w:rPr>
              <w:t>Alleged bribery scheme tied to solar contracts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EBE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DD2F71" w14:textId="77777777" w:rsidR="008548EA" w:rsidRDefault="00000000">
            <w:r>
              <w:rPr>
                <w:sz w:val="20"/>
                <w:szCs w:val="20"/>
              </w:rPr>
              <w:t>Adani denies charges; group reaffirms compliance and continues capex plans</w:t>
            </w:r>
          </w:p>
        </w:tc>
      </w:tr>
      <w:tr w:rsidR="008548EA" w14:paraId="00DD7D22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16569F" w14:textId="77777777" w:rsidR="008548EA" w:rsidRDefault="00000000">
            <w:r>
              <w:rPr>
                <w:sz w:val="20"/>
                <w:szCs w:val="20"/>
              </w:rPr>
              <w:t>2024–2026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05F44B" w14:textId="77777777" w:rsidR="008548EA" w:rsidRDefault="00000000">
            <w:r>
              <w:rPr>
                <w:sz w:val="20"/>
                <w:szCs w:val="20"/>
              </w:rPr>
              <w:t>Post-crisis re-rating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79B59F" w14:textId="77777777" w:rsidR="008548EA" w:rsidRDefault="00000000">
            <w:r>
              <w:rPr>
                <w:sz w:val="20"/>
                <w:szCs w:val="20"/>
              </w:rPr>
              <w:t>Credit rating upgrades, falling cost of debt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39361A" w14:textId="77777777" w:rsidR="008548EA" w:rsidRDefault="00000000">
            <w:r>
              <w:rPr>
                <w:sz w:val="20"/>
                <w:szCs w:val="20"/>
              </w:rPr>
              <w:t>Record EBITDA, lower leverage, $100B six-year capex plan announced</w:t>
            </w:r>
          </w:p>
        </w:tc>
      </w:tr>
    </w:tbl>
    <w:p w14:paraId="4C16343A" w14:textId="77777777" w:rsidR="008548EA" w:rsidRDefault="00000000">
      <w:pPr>
        <w:pStyle w:val="Heading1"/>
      </w:pPr>
      <w:r>
        <w:lastRenderedPageBreak/>
        <w:t>3. The January 2023 Hindenburg Crisis</w:t>
      </w:r>
    </w:p>
    <w:p w14:paraId="0ADE7BBA" w14:textId="77777777" w:rsidR="008548EA" w:rsidRDefault="00000000">
      <w:pPr>
        <w:pStyle w:val="Heading2"/>
        <w:pBdr>
          <w:bottom w:val="single" w:sz="4" w:space="4" w:color="CCCCCC"/>
        </w:pBdr>
      </w:pPr>
      <w:r>
        <w:t>3.1 The Allegations</w:t>
      </w:r>
    </w:p>
    <w:p w14:paraId="143D47AB" w14:textId="77777777" w:rsidR="008548EA" w:rsidRDefault="00000000">
      <w:pPr>
        <w:spacing w:before="60" w:after="60" w:line="320" w:lineRule="auto"/>
      </w:pPr>
      <w:r>
        <w:t>On 24 January 2023, US short-seller Hindenburg Research published a report accusing the Adani Group of stock manipulation and accounting fraud going back decades. Its main concerns were:</w:t>
      </w:r>
    </w:p>
    <w:p w14:paraId="0DF32E56" w14:textId="77777777" w:rsidR="008548E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Heavy use of offshore shell companies in tax havens</w:t>
      </w:r>
    </w:p>
    <w:p w14:paraId="45454A18" w14:textId="77777777" w:rsidR="008548E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Possibly inflated stock prices in key group companies</w:t>
      </w:r>
    </w:p>
    <w:p w14:paraId="0E38650C" w14:textId="77777777" w:rsidR="008548E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High debt and large amounts of pledged shares</w:t>
      </w:r>
    </w:p>
    <w:p w14:paraId="2489272C" w14:textId="77777777" w:rsidR="008548E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Concerns over related-party transactions</w:t>
      </w:r>
    </w:p>
    <w:p w14:paraId="3CB08419" w14:textId="77777777" w:rsidR="008548EA" w:rsidRDefault="008548EA">
      <w:pPr>
        <w:spacing w:after="50"/>
      </w:pPr>
    </w:p>
    <w:p w14:paraId="5AC88700" w14:textId="77777777" w:rsidR="008548EA" w:rsidRDefault="00000000">
      <w:pPr>
        <w:spacing w:before="60" w:after="60" w:line="320" w:lineRule="auto"/>
      </w:pPr>
      <w:r>
        <w:t>Adani strongly denied the allegations, calling the report an attack on India, and published a 413-page rebuttal.</w:t>
      </w:r>
    </w:p>
    <w:p w14:paraId="59EFF59F" w14:textId="77777777" w:rsidR="008548EA" w:rsidRDefault="00000000">
      <w:pPr>
        <w:pStyle w:val="Heading2"/>
        <w:pBdr>
          <w:bottom w:val="single" w:sz="4" w:space="4" w:color="CCCCCC"/>
        </w:pBdr>
      </w:pPr>
      <w:r>
        <w:t>3.2 Market Impact</w:t>
      </w:r>
    </w:p>
    <w:p w14:paraId="65AEC0CE" w14:textId="77777777" w:rsidR="008548EA" w:rsidRDefault="00000000">
      <w:pPr>
        <w:spacing w:before="60" w:after="60" w:line="320" w:lineRule="auto"/>
      </w:pPr>
      <w:r>
        <w:t>The market reaction was swift and severe:</w:t>
      </w:r>
    </w:p>
    <w:p w14:paraId="7C279C30" w14:textId="77777777" w:rsidR="008548E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Combined market value of listed Adani companies fell from a peak of ~₹23 lakh crore (Sept 2022) to a low of ~₹6.82 lakh crore (27 Feb 2023)</w:t>
      </w:r>
    </w:p>
    <w:p w14:paraId="169FD939" w14:textId="77777777" w:rsidR="008548E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t>Roughly ₹9.5–14.3 lakh crore in investor wealth was wiped out within weeks.</w:t>
      </w:r>
    </w:p>
    <w:p w14:paraId="0D5D15E2" w14:textId="77777777" w:rsidR="008548E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t>Adani Enterprises planned a ₹20,000 crore share sale (FPO). It was fully subscribed but later withdrawn to protect investors.</w:t>
      </w:r>
    </w:p>
    <w:p w14:paraId="471D3F17" w14:textId="77777777" w:rsidR="008548E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t>Founder Gautam Adani's net worth fell from ~₹11.4 lakh crore to ~₹5.8 lakh crore, dropping him out of the world's top-10 richest list.</w:t>
      </w:r>
    </w:p>
    <w:p w14:paraId="480A33D7" w14:textId="77777777" w:rsidR="008548EA" w:rsidRDefault="00000000">
      <w:pPr>
        <w:pStyle w:val="Heading2"/>
        <w:pBdr>
          <w:bottom w:val="single" w:sz="4" w:space="4" w:color="CCCCCC"/>
        </w:pBdr>
      </w:pPr>
      <w:r>
        <w:t>3.3 Recovery Strategy (2023–2025)</w:t>
      </w:r>
    </w:p>
    <w:p w14:paraId="4A739AD1" w14:textId="77777777" w:rsidR="008548E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Faster repayment of debt, including loans backed by pledged shares</w:t>
      </w:r>
    </w:p>
    <w:p w14:paraId="50072A5A" w14:textId="77777777" w:rsidR="008548E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Reduced use of related-party and offshore structures</w:t>
      </w:r>
    </w:p>
    <w:p w14:paraId="3DF0A426" w14:textId="77777777" w:rsidR="008548E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A large investment from GQG Partners (~</w:t>
      </w:r>
      <w:r>
        <w:t>₹</w:t>
      </w:r>
      <w:r>
        <w:rPr>
          <w:color w:val="000000"/>
        </w:rPr>
        <w:t>18,100 Cr in March 2023) to rebuild investor confidence</w:t>
      </w:r>
    </w:p>
    <w:p w14:paraId="53D61D65" w14:textId="77777777" w:rsidR="008548E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Kept up capex spending while cutting portfolio Net Debt/EBITDA from 3.8x to 2.6x</w:t>
      </w:r>
    </w:p>
    <w:p w14:paraId="5832927E" w14:textId="77777777" w:rsidR="008548E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Strengthened ESG disclosures and governance, leading to credit rating upgrades</w:t>
      </w:r>
    </w:p>
    <w:p w14:paraId="272ACDB5" w14:textId="77777777" w:rsidR="008548EA" w:rsidRDefault="008548EA">
      <w:pPr>
        <w:spacing w:after="50"/>
      </w:pPr>
    </w:p>
    <w:p w14:paraId="30225BBE" w14:textId="77777777" w:rsidR="008548EA" w:rsidRDefault="00000000">
      <w:pPr>
        <w:spacing w:before="60" w:after="60" w:line="320" w:lineRule="auto"/>
      </w:pPr>
      <w:r>
        <w:t>By 2024–2025, rating agencies had upgraded several Adani entities, and the average cost of debt fell below 8% for the first time — down from over 10% in FY19.</w:t>
      </w:r>
    </w:p>
    <w:p w14:paraId="31264A56" w14:textId="77777777" w:rsidR="008548EA" w:rsidRDefault="008548EA">
      <w:pPr>
        <w:spacing w:after="100"/>
      </w:pPr>
    </w:p>
    <w:p w14:paraId="24FE9591" w14:textId="77777777" w:rsidR="008548EA" w:rsidRDefault="00000000">
      <w:r>
        <w:br w:type="page"/>
      </w:r>
    </w:p>
    <w:p w14:paraId="55BCAAB9" w14:textId="77777777" w:rsidR="008548EA" w:rsidRDefault="00000000">
      <w:pPr>
        <w:pStyle w:val="Heading1"/>
      </w:pPr>
      <w:r>
        <w:lastRenderedPageBreak/>
        <w:t>4. EBITDA &amp; Net Profit Trend (FY19–FY26)</w:t>
      </w:r>
    </w:p>
    <w:p w14:paraId="41EE6D40" w14:textId="77777777" w:rsidR="008548EA" w:rsidRDefault="00000000">
      <w:pPr>
        <w:pStyle w:val="Heading2"/>
        <w:pBdr>
          <w:bottom w:val="single" w:sz="4" w:space="4" w:color="CCCCCC"/>
        </w:pBdr>
      </w:pPr>
      <w:r>
        <w:t>4.1 Adani Portfolio Financial Summary</w:t>
      </w:r>
    </w:p>
    <w:p w14:paraId="72E1F542" w14:textId="77777777" w:rsidR="008548EA" w:rsidRDefault="008548EA">
      <w:pPr>
        <w:spacing w:after="100"/>
      </w:pPr>
    </w:p>
    <w:p w14:paraId="618AC9FA" w14:textId="77777777" w:rsidR="008548EA" w:rsidRDefault="00000000">
      <w:pPr>
        <w:spacing w:before="60" w:after="60" w:line="320" w:lineRule="auto"/>
      </w:pPr>
      <w:r>
        <w:rPr>
          <w:i/>
          <w:iCs/>
          <w:color w:val="555555"/>
        </w:rPr>
        <w:t>FY23 figures (highlighted in amber) are from the year of the Hindenburg shock. EBITDA kept growing at the operating level even though market value and investor sentiment took a hit — showing the gap between Adani's actual business performance and its stock-market crisis.</w:t>
      </w:r>
    </w:p>
    <w:p w14:paraId="24737654" w14:textId="77777777" w:rsidR="008548EA" w:rsidRDefault="008548EA">
      <w:pPr>
        <w:pStyle w:val="Heading1"/>
      </w:pPr>
    </w:p>
    <w:p w14:paraId="7C8F4DAD" w14:textId="77777777" w:rsidR="008548EA" w:rsidRDefault="00000000">
      <w:pPr>
        <w:pStyle w:val="Heading1"/>
      </w:pPr>
      <w:r>
        <w:t>5. Cash Flow &amp; Liquidity Analysis</w:t>
      </w:r>
    </w:p>
    <w:p w14:paraId="20A3EBE6" w14:textId="77777777" w:rsidR="008548EA" w:rsidRDefault="00000000">
      <w:pPr>
        <w:pStyle w:val="Heading2"/>
        <w:pBdr>
          <w:bottom w:val="single" w:sz="4" w:space="4" w:color="CCCCCC"/>
        </w:pBdr>
      </w:pPr>
      <w:r>
        <w:t>5.1 Cash Flow &amp; Liquidity Summary (FY21–FY25)</w:t>
      </w:r>
    </w:p>
    <w:p w14:paraId="4B9D8862" w14:textId="77777777" w:rsidR="008548EA" w:rsidRDefault="00000000">
      <w:pPr>
        <w:spacing w:before="60" w:after="60" w:line="320" w:lineRule="auto"/>
      </w:pPr>
      <w:r>
        <w:t>Cash flow and liquidity are critical for an infrastructure group that depends on continuous, large-scale spending. Adani reports 'Cash After Tax' (CAT) / Fund Flow from Operations (FFO) instead of a standard cash flow statement, given its structure of separately listed entities.</w:t>
      </w:r>
    </w:p>
    <w:p w14:paraId="7585E96C" w14:textId="77777777" w:rsidR="008548EA" w:rsidRDefault="008548EA">
      <w:pPr>
        <w:spacing w:after="50"/>
      </w:pPr>
    </w:p>
    <w:p w14:paraId="2D58BB90" w14:textId="77777777" w:rsidR="008548EA" w:rsidRDefault="008548EA">
      <w:pPr>
        <w:spacing w:after="50"/>
      </w:pPr>
    </w:p>
    <w:p w14:paraId="4020495F" w14:textId="77777777" w:rsidR="008548EA" w:rsidRDefault="008548EA">
      <w:pPr>
        <w:spacing w:after="50"/>
      </w:pPr>
    </w:p>
    <w:p w14:paraId="31AB94FC" w14:textId="77777777" w:rsidR="008548EA" w:rsidRDefault="008548EA">
      <w:pPr>
        <w:spacing w:after="50"/>
      </w:pPr>
    </w:p>
    <w:p w14:paraId="1E7F485D" w14:textId="77777777" w:rsidR="008548EA" w:rsidRDefault="008548EA">
      <w:pPr>
        <w:spacing w:after="50"/>
      </w:pPr>
    </w:p>
    <w:tbl>
      <w:tblPr>
        <w:tblStyle w:val="a1"/>
        <w:tblpPr w:leftFromText="180" w:rightFromText="180" w:topFromText="180" w:bottomFromText="180" w:vertAnchor="text" w:tblpX="120"/>
        <w:tblW w:w="928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5"/>
        <w:gridCol w:w="1305"/>
        <w:gridCol w:w="1305"/>
        <w:gridCol w:w="1305"/>
        <w:gridCol w:w="1305"/>
        <w:gridCol w:w="1260"/>
      </w:tblGrid>
      <w:tr w:rsidR="008548EA" w14:paraId="477D1B36" w14:textId="77777777">
        <w:trPr>
          <w:tblHeader/>
        </w:trPr>
        <w:tc>
          <w:tcPr>
            <w:tcW w:w="28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07CFD6" w14:textId="77777777" w:rsidR="008548EA" w:rsidRDefault="00000000">
            <w:r>
              <w:rPr>
                <w:b/>
                <w:bCs/>
                <w:color w:val="FFFFFF"/>
                <w:sz w:val="20"/>
                <w:szCs w:val="20"/>
              </w:rPr>
              <w:t>Cash Flow / Liquidity Item (₹ Cr)</w:t>
            </w:r>
          </w:p>
        </w:tc>
        <w:tc>
          <w:tcPr>
            <w:tcW w:w="13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BCF320" w14:textId="77777777" w:rsidR="008548EA" w:rsidRDefault="00000000">
            <w:r>
              <w:rPr>
                <w:b/>
                <w:bCs/>
                <w:color w:val="FFFFFF"/>
                <w:sz w:val="20"/>
                <w:szCs w:val="20"/>
              </w:rPr>
              <w:t>FY21</w:t>
            </w:r>
          </w:p>
        </w:tc>
        <w:tc>
          <w:tcPr>
            <w:tcW w:w="13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C7D6D0" w14:textId="77777777" w:rsidR="008548EA" w:rsidRDefault="00000000">
            <w:r>
              <w:rPr>
                <w:b/>
                <w:bCs/>
                <w:color w:val="FFFFFF"/>
                <w:sz w:val="20"/>
                <w:szCs w:val="20"/>
              </w:rPr>
              <w:t>FY22</w:t>
            </w:r>
          </w:p>
        </w:tc>
        <w:tc>
          <w:tcPr>
            <w:tcW w:w="13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88A847" w14:textId="77777777" w:rsidR="008548EA" w:rsidRDefault="00000000">
            <w:r>
              <w:rPr>
                <w:b/>
                <w:bCs/>
                <w:color w:val="FFFFFF"/>
                <w:sz w:val="20"/>
                <w:szCs w:val="20"/>
              </w:rPr>
              <w:t>FY23</w:t>
            </w:r>
          </w:p>
        </w:tc>
        <w:tc>
          <w:tcPr>
            <w:tcW w:w="13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AC86E9" w14:textId="77777777" w:rsidR="008548EA" w:rsidRDefault="00000000">
            <w:r>
              <w:rPr>
                <w:b/>
                <w:bCs/>
                <w:color w:val="FFFFFF"/>
                <w:sz w:val="20"/>
                <w:szCs w:val="20"/>
              </w:rPr>
              <w:t>FY24</w:t>
            </w:r>
          </w:p>
        </w:tc>
        <w:tc>
          <w:tcPr>
            <w:tcW w:w="1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C04754" w14:textId="77777777" w:rsidR="008548EA" w:rsidRDefault="00000000">
            <w:r>
              <w:rPr>
                <w:b/>
                <w:bCs/>
                <w:color w:val="FFFFFF"/>
                <w:sz w:val="20"/>
                <w:szCs w:val="20"/>
              </w:rPr>
              <w:t>FY25</w:t>
            </w:r>
          </w:p>
        </w:tc>
      </w:tr>
      <w:tr w:rsidR="008548EA" w14:paraId="53C258DC" w14:textId="77777777">
        <w:tc>
          <w:tcPr>
            <w:tcW w:w="28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89BB37" w14:textId="77777777" w:rsidR="008548EA" w:rsidRDefault="00000000">
            <w:r>
              <w:rPr>
                <w:sz w:val="20"/>
                <w:szCs w:val="20"/>
              </w:rPr>
              <w:t>Fund Flow from Ops (FFO / CAT)</w:t>
            </w:r>
          </w:p>
        </w:tc>
        <w:tc>
          <w:tcPr>
            <w:tcW w:w="13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DFE33B" w14:textId="77777777" w:rsidR="008548EA" w:rsidRDefault="00000000">
            <w:r>
              <w:rPr>
                <w:sz w:val="20"/>
                <w:szCs w:val="20"/>
              </w:rPr>
              <w:t>~24,500</w:t>
            </w:r>
          </w:p>
        </w:tc>
        <w:tc>
          <w:tcPr>
            <w:tcW w:w="13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1D1564" w14:textId="77777777" w:rsidR="008548EA" w:rsidRDefault="00000000">
            <w:r>
              <w:rPr>
                <w:sz w:val="20"/>
                <w:szCs w:val="20"/>
              </w:rPr>
              <w:t>~33,000</w:t>
            </w:r>
          </w:p>
        </w:tc>
        <w:tc>
          <w:tcPr>
            <w:tcW w:w="13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CA77B1" w14:textId="77777777" w:rsidR="008548EA" w:rsidRDefault="00000000">
            <w:r>
              <w:rPr>
                <w:sz w:val="20"/>
                <w:szCs w:val="20"/>
              </w:rPr>
              <w:t>~38,500</w:t>
            </w:r>
          </w:p>
        </w:tc>
        <w:tc>
          <w:tcPr>
            <w:tcW w:w="13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5E9D64" w14:textId="77777777" w:rsidR="008548EA" w:rsidRDefault="00000000">
            <w:r>
              <w:rPr>
                <w:sz w:val="20"/>
                <w:szCs w:val="20"/>
              </w:rPr>
              <w:t>54,915</w:t>
            </w:r>
          </w:p>
        </w:tc>
        <w:tc>
          <w:tcPr>
            <w:tcW w:w="1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C8C1DE" w14:textId="77777777" w:rsidR="008548EA" w:rsidRDefault="00000000">
            <w:r>
              <w:rPr>
                <w:sz w:val="20"/>
                <w:szCs w:val="20"/>
              </w:rPr>
              <w:t>66,527</w:t>
            </w:r>
          </w:p>
        </w:tc>
      </w:tr>
      <w:tr w:rsidR="008548EA" w14:paraId="57D02BAB" w14:textId="77777777">
        <w:tc>
          <w:tcPr>
            <w:tcW w:w="28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D7C976" w14:textId="77777777" w:rsidR="008548EA" w:rsidRDefault="00000000">
            <w:r>
              <w:rPr>
                <w:sz w:val="20"/>
                <w:szCs w:val="20"/>
              </w:rPr>
              <w:t>Capital Expenditure (Asset Addition)</w:t>
            </w:r>
          </w:p>
        </w:tc>
        <w:tc>
          <w:tcPr>
            <w:tcW w:w="13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EBE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589008" w14:textId="77777777" w:rsidR="008548EA" w:rsidRDefault="00000000">
            <w:r>
              <w:rPr>
                <w:sz w:val="20"/>
                <w:szCs w:val="20"/>
              </w:rPr>
              <w:t>~38,000</w:t>
            </w:r>
          </w:p>
        </w:tc>
        <w:tc>
          <w:tcPr>
            <w:tcW w:w="13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EBE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9A466B" w14:textId="77777777" w:rsidR="008548EA" w:rsidRDefault="00000000">
            <w:r>
              <w:rPr>
                <w:sz w:val="20"/>
                <w:szCs w:val="20"/>
              </w:rPr>
              <w:t>~62,000</w:t>
            </w:r>
          </w:p>
        </w:tc>
        <w:tc>
          <w:tcPr>
            <w:tcW w:w="13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EBE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8C4399" w14:textId="77777777" w:rsidR="008548EA" w:rsidRDefault="00000000">
            <w:r>
              <w:rPr>
                <w:sz w:val="20"/>
                <w:szCs w:val="20"/>
              </w:rPr>
              <w:t>~75,000</w:t>
            </w:r>
          </w:p>
        </w:tc>
        <w:tc>
          <w:tcPr>
            <w:tcW w:w="13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EBE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0A1E6C" w14:textId="77777777" w:rsidR="008548EA" w:rsidRDefault="00000000">
            <w:r>
              <w:rPr>
                <w:sz w:val="20"/>
                <w:szCs w:val="20"/>
              </w:rPr>
              <w:t>~98,000</w:t>
            </w:r>
          </w:p>
        </w:tc>
        <w:tc>
          <w:tcPr>
            <w:tcW w:w="1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EBE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3DE6E7" w14:textId="77777777" w:rsidR="008548EA" w:rsidRDefault="00000000">
            <w:r>
              <w:rPr>
                <w:sz w:val="20"/>
                <w:szCs w:val="20"/>
              </w:rPr>
              <w:t>1,26,000</w:t>
            </w:r>
          </w:p>
        </w:tc>
      </w:tr>
      <w:tr w:rsidR="008548EA" w14:paraId="0AD80F91" w14:textId="77777777">
        <w:tc>
          <w:tcPr>
            <w:tcW w:w="28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2833C8" w14:textId="77777777" w:rsidR="008548EA" w:rsidRDefault="00000000">
            <w:r>
              <w:rPr>
                <w:sz w:val="20"/>
                <w:szCs w:val="20"/>
              </w:rPr>
              <w:t>Cash Balance (Portfolio, end of period)</w:t>
            </w:r>
          </w:p>
        </w:tc>
        <w:tc>
          <w:tcPr>
            <w:tcW w:w="13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5778BD" w14:textId="77777777" w:rsidR="008548EA" w:rsidRDefault="00000000">
            <w:r>
              <w:rPr>
                <w:sz w:val="20"/>
                <w:szCs w:val="20"/>
              </w:rPr>
              <w:t>~28,000</w:t>
            </w:r>
          </w:p>
        </w:tc>
        <w:tc>
          <w:tcPr>
            <w:tcW w:w="13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BFD8E1" w14:textId="77777777" w:rsidR="008548EA" w:rsidRDefault="00000000">
            <w:r>
              <w:rPr>
                <w:sz w:val="20"/>
                <w:szCs w:val="20"/>
              </w:rPr>
              <w:t>~31,000</w:t>
            </w:r>
          </w:p>
        </w:tc>
        <w:tc>
          <w:tcPr>
            <w:tcW w:w="13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F010FE" w14:textId="77777777" w:rsidR="008548EA" w:rsidRDefault="00000000">
            <w:r>
              <w:rPr>
                <w:sz w:val="20"/>
                <w:szCs w:val="20"/>
              </w:rPr>
              <w:t>~28,500</w:t>
            </w:r>
          </w:p>
        </w:tc>
        <w:tc>
          <w:tcPr>
            <w:tcW w:w="13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C8D7A3" w14:textId="77777777" w:rsidR="008548EA" w:rsidRDefault="00000000">
            <w:r>
              <w:rPr>
                <w:sz w:val="20"/>
                <w:szCs w:val="20"/>
              </w:rPr>
              <w:t>~44,000</w:t>
            </w:r>
          </w:p>
        </w:tc>
        <w:tc>
          <w:tcPr>
            <w:tcW w:w="1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054940" w14:textId="77777777" w:rsidR="008548EA" w:rsidRDefault="00000000">
            <w:r>
              <w:rPr>
                <w:sz w:val="20"/>
                <w:szCs w:val="20"/>
              </w:rPr>
              <w:t>53,843</w:t>
            </w:r>
          </w:p>
        </w:tc>
      </w:tr>
      <w:tr w:rsidR="008548EA" w14:paraId="4DEA2026" w14:textId="77777777">
        <w:tc>
          <w:tcPr>
            <w:tcW w:w="28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EBE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D9F60F" w14:textId="77777777" w:rsidR="008548EA" w:rsidRDefault="00000000">
            <w:r>
              <w:rPr>
                <w:sz w:val="20"/>
                <w:szCs w:val="20"/>
              </w:rPr>
              <w:t>Cash as % of Gross Debt</w:t>
            </w:r>
          </w:p>
        </w:tc>
        <w:tc>
          <w:tcPr>
            <w:tcW w:w="13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EBE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C162C2" w14:textId="77777777" w:rsidR="008548EA" w:rsidRDefault="00000000">
            <w:r>
              <w:rPr>
                <w:sz w:val="20"/>
                <w:szCs w:val="20"/>
              </w:rPr>
              <w:t>~17%</w:t>
            </w:r>
          </w:p>
        </w:tc>
        <w:tc>
          <w:tcPr>
            <w:tcW w:w="13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EBE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F686FE" w14:textId="77777777" w:rsidR="008548EA" w:rsidRDefault="00000000">
            <w:r>
              <w:rPr>
                <w:sz w:val="20"/>
                <w:szCs w:val="20"/>
              </w:rPr>
              <w:t>~16%</w:t>
            </w:r>
          </w:p>
        </w:tc>
        <w:tc>
          <w:tcPr>
            <w:tcW w:w="13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EBE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A581F0" w14:textId="77777777" w:rsidR="008548EA" w:rsidRDefault="00000000">
            <w:r>
              <w:rPr>
                <w:sz w:val="20"/>
                <w:szCs w:val="20"/>
              </w:rPr>
              <w:t>~15%</w:t>
            </w:r>
          </w:p>
        </w:tc>
        <w:tc>
          <w:tcPr>
            <w:tcW w:w="13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EBE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76887D" w14:textId="77777777" w:rsidR="008548EA" w:rsidRDefault="00000000">
            <w:r>
              <w:rPr>
                <w:sz w:val="20"/>
                <w:szCs w:val="20"/>
              </w:rPr>
              <w:t>~17%</w:t>
            </w:r>
          </w:p>
        </w:tc>
        <w:tc>
          <w:tcPr>
            <w:tcW w:w="1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EBE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5EF502" w14:textId="77777777" w:rsidR="008548EA" w:rsidRDefault="00000000">
            <w:r>
              <w:rPr>
                <w:sz w:val="20"/>
                <w:szCs w:val="20"/>
              </w:rPr>
              <w:t>18.5%</w:t>
            </w:r>
          </w:p>
        </w:tc>
      </w:tr>
      <w:tr w:rsidR="008548EA" w14:paraId="7ACB4BE9" w14:textId="77777777">
        <w:tc>
          <w:tcPr>
            <w:tcW w:w="28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E02427" w14:textId="77777777" w:rsidR="008548EA" w:rsidRDefault="00000000">
            <w:r>
              <w:rPr>
                <w:sz w:val="20"/>
                <w:szCs w:val="20"/>
              </w:rPr>
              <w:t>Average Cost of Debt</w:t>
            </w:r>
          </w:p>
        </w:tc>
        <w:tc>
          <w:tcPr>
            <w:tcW w:w="13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D7B78C" w14:textId="77777777" w:rsidR="008548EA" w:rsidRDefault="00000000">
            <w:r>
              <w:rPr>
                <w:sz w:val="20"/>
                <w:szCs w:val="20"/>
              </w:rPr>
              <w:t>9.8%</w:t>
            </w:r>
          </w:p>
        </w:tc>
        <w:tc>
          <w:tcPr>
            <w:tcW w:w="13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A9455B" w14:textId="77777777" w:rsidR="008548EA" w:rsidRDefault="00000000">
            <w:r>
              <w:rPr>
                <w:sz w:val="20"/>
                <w:szCs w:val="20"/>
              </w:rPr>
              <w:t>9.5%</w:t>
            </w:r>
          </w:p>
        </w:tc>
        <w:tc>
          <w:tcPr>
            <w:tcW w:w="13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D6A98C" w14:textId="77777777" w:rsidR="008548EA" w:rsidRDefault="00000000">
            <w:r>
              <w:rPr>
                <w:sz w:val="20"/>
                <w:szCs w:val="20"/>
              </w:rPr>
              <w:t>9.3%</w:t>
            </w:r>
          </w:p>
        </w:tc>
        <w:tc>
          <w:tcPr>
            <w:tcW w:w="13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333282" w14:textId="77777777" w:rsidR="008548EA" w:rsidRDefault="00000000">
            <w:r>
              <w:rPr>
                <w:sz w:val="20"/>
                <w:szCs w:val="20"/>
              </w:rPr>
              <w:t>9.0%</w:t>
            </w:r>
          </w:p>
        </w:tc>
        <w:tc>
          <w:tcPr>
            <w:tcW w:w="1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25661E" w14:textId="77777777" w:rsidR="008548EA" w:rsidRDefault="00000000">
            <w:r>
              <w:rPr>
                <w:sz w:val="20"/>
                <w:szCs w:val="20"/>
              </w:rPr>
              <w:t>7.9%</w:t>
            </w:r>
          </w:p>
        </w:tc>
      </w:tr>
      <w:tr w:rsidR="008548EA" w14:paraId="5CE81B83" w14:textId="77777777">
        <w:tc>
          <w:tcPr>
            <w:tcW w:w="28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EBE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2C20A1" w14:textId="77777777" w:rsidR="008548EA" w:rsidRDefault="00000000">
            <w:r>
              <w:rPr>
                <w:sz w:val="20"/>
                <w:szCs w:val="20"/>
              </w:rPr>
              <w:t>Debt Servicing Coverage (months)</w:t>
            </w:r>
          </w:p>
        </w:tc>
        <w:tc>
          <w:tcPr>
            <w:tcW w:w="13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EBE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ECAB6A" w14:textId="77777777" w:rsidR="008548EA" w:rsidRDefault="00000000">
            <w:r>
              <w:rPr>
                <w:sz w:val="20"/>
                <w:szCs w:val="20"/>
              </w:rPr>
              <w:t>~14</w:t>
            </w:r>
          </w:p>
        </w:tc>
        <w:tc>
          <w:tcPr>
            <w:tcW w:w="13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EBE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78BCB4" w14:textId="77777777" w:rsidR="008548EA" w:rsidRDefault="00000000">
            <w:r>
              <w:rPr>
                <w:sz w:val="20"/>
                <w:szCs w:val="20"/>
              </w:rPr>
              <w:t>~15</w:t>
            </w:r>
          </w:p>
        </w:tc>
        <w:tc>
          <w:tcPr>
            <w:tcW w:w="13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EBE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EC0BE6" w14:textId="77777777" w:rsidR="008548EA" w:rsidRDefault="00000000">
            <w:r>
              <w:rPr>
                <w:sz w:val="20"/>
                <w:szCs w:val="20"/>
              </w:rPr>
              <w:t>~14</w:t>
            </w:r>
          </w:p>
        </w:tc>
        <w:tc>
          <w:tcPr>
            <w:tcW w:w="13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EBE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914D78" w14:textId="77777777" w:rsidR="008548EA" w:rsidRDefault="00000000">
            <w:r>
              <w:rPr>
                <w:sz w:val="20"/>
                <w:szCs w:val="20"/>
              </w:rPr>
              <w:t>~18</w:t>
            </w:r>
          </w:p>
        </w:tc>
        <w:tc>
          <w:tcPr>
            <w:tcW w:w="1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EBE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55E968" w14:textId="77777777" w:rsidR="008548EA" w:rsidRDefault="00000000">
            <w:r>
              <w:rPr>
                <w:sz w:val="20"/>
                <w:szCs w:val="20"/>
              </w:rPr>
              <w:t>21</w:t>
            </w:r>
          </w:p>
        </w:tc>
      </w:tr>
    </w:tbl>
    <w:p w14:paraId="4F745D89" w14:textId="77777777" w:rsidR="008548EA" w:rsidRDefault="008548EA">
      <w:pPr>
        <w:spacing w:after="100"/>
      </w:pPr>
    </w:p>
    <w:p w14:paraId="3E352EA8" w14:textId="77777777" w:rsidR="008548EA" w:rsidRDefault="00000000">
      <w:pPr>
        <w:spacing w:before="60" w:after="60" w:line="320" w:lineRule="auto"/>
      </w:pPr>
      <w:r>
        <w:rPr>
          <w:i/>
          <w:iCs/>
          <w:color w:val="888888"/>
          <w:sz w:val="19"/>
          <w:szCs w:val="19"/>
        </w:rPr>
        <w:lastRenderedPageBreak/>
        <w:t>Note: Figures before FY24 are estimates based on Adani's trailing 12-month and half-year disclosures, since the Group's current portfolio-reporting format only began then. FY24 and FY25 figures come directly from Adani's official FY25 Results &amp; Credit Compendium.</w:t>
      </w:r>
    </w:p>
    <w:p w14:paraId="194BAD5D" w14:textId="77777777" w:rsidR="008548EA" w:rsidRDefault="008548EA">
      <w:pPr>
        <w:spacing w:after="100"/>
      </w:pPr>
    </w:p>
    <w:p w14:paraId="07468375" w14:textId="77777777" w:rsidR="008548EA" w:rsidRDefault="00000000">
      <w:pPr>
        <w:pStyle w:val="Heading2"/>
        <w:pBdr>
          <w:bottom w:val="single" w:sz="4" w:space="4" w:color="CCCCCC"/>
        </w:pBdr>
      </w:pPr>
      <w:r>
        <w:t>5.2 Cash Flow &amp; Liquidity Insights</w:t>
      </w:r>
    </w:p>
    <w:p w14:paraId="372DDB99" w14:textId="77777777" w:rsidR="008548EA" w:rsidRDefault="00000000">
      <w:pPr>
        <w:pStyle w:val="Heading3"/>
      </w:pPr>
      <w:r>
        <w:t>Fund Flow from Operations (FFO)</w:t>
      </w:r>
    </w:p>
    <w:p w14:paraId="754E49FB" w14:textId="77777777" w:rsidR="008548EA" w:rsidRDefault="00000000">
      <w:pPr>
        <w:spacing w:before="60" w:after="60" w:line="320" w:lineRule="auto"/>
      </w:pPr>
      <w:r>
        <w:t>FFO — Adani's version of operating cash flow — hit a record ₹66,527 crore in FY25, up from ~₹24,500 crore in FY21. This reflects the growth of cash-generating assets — ports, transmission, power — that now drive the portfolio.</w:t>
      </w:r>
    </w:p>
    <w:p w14:paraId="57791460" w14:textId="77777777" w:rsidR="008548EA" w:rsidRDefault="00000000">
      <w:pPr>
        <w:pStyle w:val="Heading3"/>
      </w:pPr>
      <w:r>
        <w:t>Capital Expenditure</w:t>
      </w:r>
    </w:p>
    <w:p w14:paraId="5B0F79D2" w14:textId="77777777" w:rsidR="008548EA" w:rsidRDefault="00000000">
      <w:pPr>
        <w:spacing w:before="60" w:after="60" w:line="320" w:lineRule="auto"/>
      </w:pPr>
      <w:r>
        <w:t>Capex hit a record ₹1.26 lakh crore in FY25, the highest ever for the Group, mainly spent on green energy, transmission, ports (including the NQXT Australia deal), airports, and a new copper smelter. The Group plans about $100 billion in capex over the next six years.</w:t>
      </w:r>
    </w:p>
    <w:p w14:paraId="7BC14A0C" w14:textId="77777777" w:rsidR="008548EA" w:rsidRDefault="00000000">
      <w:pPr>
        <w:pStyle w:val="Heading3"/>
      </w:pPr>
      <w:r>
        <w:t>Cash Balance &amp; Debt Servicing Cover</w:t>
      </w:r>
    </w:p>
    <w:p w14:paraId="4142A99E" w14:textId="77777777" w:rsidR="008548EA" w:rsidRDefault="00000000">
      <w:pPr>
        <w:spacing w:before="60" w:after="60" w:line="320" w:lineRule="auto"/>
      </w:pPr>
      <w:r>
        <w:t>Cash balances reached ₹53,843 crore (~$6.3B) at FY25-end — 18.5% of gross debt, enough to cover ~21 months of debt payments, well above the Group's 12-month policy floor.</w:t>
      </w:r>
    </w:p>
    <w:p w14:paraId="3571E499" w14:textId="77777777" w:rsidR="008548EA" w:rsidRDefault="00000000">
      <w:pPr>
        <w:pStyle w:val="Heading3"/>
      </w:pPr>
      <w:r>
        <w:t>Cost of Debt</w:t>
      </w:r>
    </w:p>
    <w:p w14:paraId="6D5B7F05" w14:textId="77777777" w:rsidR="008548EA" w:rsidRDefault="00000000">
      <w:pPr>
        <w:spacing w:before="60" w:after="60" w:line="320" w:lineRule="auto"/>
      </w:pPr>
      <w:r>
        <w:t>Average cost of debt fell below 8% for the first time in FY25 (7.9%, down from 9.0% in FY24 and 10.3% in FY19), thanks to credit rating upgrades and better ESG disclosure — directly countering Hindenburg-era concerns about debt levels.</w:t>
      </w:r>
    </w:p>
    <w:p w14:paraId="6A24E0EB" w14:textId="77777777" w:rsidR="008548EA" w:rsidRDefault="00000000">
      <w:pPr>
        <w:pStyle w:val="Heading1"/>
      </w:pPr>
      <w:r>
        <w:t>6. Key Balance Sheet &amp; Credit Metrics</w:t>
      </w:r>
    </w:p>
    <w:p w14:paraId="23D58C30" w14:textId="77777777" w:rsidR="008548EA" w:rsidRDefault="008548EA">
      <w:pPr>
        <w:spacing w:after="50"/>
      </w:pPr>
    </w:p>
    <w:tbl>
      <w:tblPr>
        <w:tblStyle w:val="a2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900"/>
        <w:gridCol w:w="1620"/>
        <w:gridCol w:w="1620"/>
        <w:gridCol w:w="1620"/>
        <w:gridCol w:w="1600"/>
      </w:tblGrid>
      <w:tr w:rsidR="008548EA" w14:paraId="05E32E21" w14:textId="77777777">
        <w:trPr>
          <w:tblHeader/>
        </w:trPr>
        <w:tc>
          <w:tcPr>
            <w:tcW w:w="2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6FC7BB" w14:textId="77777777" w:rsidR="008548EA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4E36EA" w14:textId="77777777" w:rsidR="008548EA" w:rsidRDefault="00000000">
            <w:r>
              <w:rPr>
                <w:b/>
                <w:bCs/>
                <w:color w:val="FFFFFF"/>
                <w:sz w:val="20"/>
                <w:szCs w:val="20"/>
              </w:rPr>
              <w:t>FY19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9D6AA7" w14:textId="77777777" w:rsidR="008548EA" w:rsidRDefault="00000000">
            <w:r>
              <w:rPr>
                <w:b/>
                <w:bCs/>
                <w:color w:val="FFFFFF"/>
                <w:sz w:val="20"/>
                <w:szCs w:val="20"/>
              </w:rPr>
              <w:t>FY23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11529F" w14:textId="77777777" w:rsidR="008548EA" w:rsidRDefault="00000000">
            <w:r>
              <w:rPr>
                <w:b/>
                <w:bCs/>
                <w:color w:val="FFFFFF"/>
                <w:sz w:val="20"/>
                <w:szCs w:val="20"/>
              </w:rPr>
              <w:t>FY24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9B8251" w14:textId="77777777" w:rsidR="008548EA" w:rsidRDefault="00000000">
            <w:r>
              <w:rPr>
                <w:b/>
                <w:bCs/>
                <w:color w:val="FFFFFF"/>
                <w:sz w:val="20"/>
                <w:szCs w:val="20"/>
              </w:rPr>
              <w:t>FY25</w:t>
            </w:r>
          </w:p>
        </w:tc>
      </w:tr>
      <w:tr w:rsidR="008548EA" w14:paraId="1DA76B3F" w14:textId="77777777">
        <w:tc>
          <w:tcPr>
            <w:tcW w:w="2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6D4D26" w14:textId="77777777" w:rsidR="008548EA" w:rsidRDefault="00000000">
            <w:r>
              <w:rPr>
                <w:sz w:val="20"/>
                <w:szCs w:val="20"/>
              </w:rPr>
              <w:t>Gross Assets (₹ Cr)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35AE9B" w14:textId="77777777" w:rsidR="008548EA" w:rsidRDefault="00000000">
            <w:r>
              <w:rPr>
                <w:sz w:val="20"/>
                <w:szCs w:val="20"/>
              </w:rPr>
              <w:t>~1,85,000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783745" w14:textId="77777777" w:rsidR="008548EA" w:rsidRDefault="00000000">
            <w:r>
              <w:rPr>
                <w:sz w:val="20"/>
                <w:szCs w:val="20"/>
              </w:rPr>
              <w:t>~3,90,000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ED0612" w14:textId="77777777" w:rsidR="008548EA" w:rsidRDefault="00000000">
            <w:r>
              <w:rPr>
                <w:sz w:val="20"/>
                <w:szCs w:val="20"/>
              </w:rPr>
              <w:t>4,84,856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0E9643" w14:textId="77777777" w:rsidR="008548EA" w:rsidRDefault="00000000">
            <w:r>
              <w:rPr>
                <w:sz w:val="20"/>
                <w:szCs w:val="20"/>
              </w:rPr>
              <w:t>6,09,133</w:t>
            </w:r>
          </w:p>
        </w:tc>
      </w:tr>
      <w:tr w:rsidR="008548EA" w14:paraId="55EC3B51" w14:textId="77777777">
        <w:tc>
          <w:tcPr>
            <w:tcW w:w="2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EBE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CA20BC" w14:textId="77777777" w:rsidR="008548EA" w:rsidRDefault="00000000">
            <w:r>
              <w:rPr>
                <w:sz w:val="20"/>
                <w:szCs w:val="20"/>
              </w:rPr>
              <w:t>Net Debt to EBITDA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EBE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56A5C2" w14:textId="77777777" w:rsidR="008548EA" w:rsidRDefault="00000000">
            <w:r>
              <w:rPr>
                <w:sz w:val="20"/>
                <w:szCs w:val="20"/>
              </w:rPr>
              <w:t>3.8x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EBE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21FF08" w14:textId="77777777" w:rsidR="008548EA" w:rsidRDefault="00000000">
            <w:r>
              <w:rPr>
                <w:sz w:val="20"/>
                <w:szCs w:val="20"/>
              </w:rPr>
              <w:t>3.3x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EBE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41C3F9" w14:textId="77777777" w:rsidR="008548EA" w:rsidRDefault="00000000">
            <w:r>
              <w:rPr>
                <w:sz w:val="20"/>
                <w:szCs w:val="20"/>
              </w:rPr>
              <w:t>2.7x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EBE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082124" w14:textId="77777777" w:rsidR="008548EA" w:rsidRDefault="00000000">
            <w:r>
              <w:rPr>
                <w:sz w:val="20"/>
                <w:szCs w:val="20"/>
              </w:rPr>
              <w:t>2.6x</w:t>
            </w:r>
          </w:p>
        </w:tc>
      </w:tr>
      <w:tr w:rsidR="008548EA" w14:paraId="0D04D0F6" w14:textId="77777777">
        <w:tc>
          <w:tcPr>
            <w:tcW w:w="2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AC7913" w14:textId="77777777" w:rsidR="008548EA" w:rsidRDefault="00000000">
            <w:r>
              <w:rPr>
                <w:sz w:val="20"/>
                <w:szCs w:val="20"/>
              </w:rPr>
              <w:t>Return on Assets (ROA)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ADC843" w14:textId="77777777" w:rsidR="008548EA" w:rsidRDefault="00000000">
            <w:r>
              <w:rPr>
                <w:sz w:val="20"/>
                <w:szCs w:val="20"/>
              </w:rPr>
              <w:t>~12%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E87D91" w14:textId="77777777" w:rsidR="008548EA" w:rsidRDefault="00000000">
            <w:r>
              <w:rPr>
                <w:sz w:val="20"/>
                <w:szCs w:val="20"/>
              </w:rPr>
              <w:t>~14%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260B9B" w14:textId="77777777" w:rsidR="008548EA" w:rsidRDefault="00000000">
            <w:r>
              <w:rPr>
                <w:sz w:val="20"/>
                <w:szCs w:val="20"/>
              </w:rPr>
              <w:t>~15.8%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97EA51" w14:textId="77777777" w:rsidR="008548EA" w:rsidRDefault="00000000">
            <w:r>
              <w:rPr>
                <w:sz w:val="20"/>
                <w:szCs w:val="20"/>
              </w:rPr>
              <w:t>16.5%</w:t>
            </w:r>
          </w:p>
        </w:tc>
      </w:tr>
      <w:tr w:rsidR="008548EA" w14:paraId="2EF3566F" w14:textId="77777777">
        <w:tc>
          <w:tcPr>
            <w:tcW w:w="2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EBE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D1354D" w14:textId="77777777" w:rsidR="008548EA" w:rsidRDefault="00000000">
            <w:r>
              <w:rPr>
                <w:sz w:val="20"/>
                <w:szCs w:val="20"/>
              </w:rPr>
              <w:t>EBITDA from 'AA-' or higher rated assets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EBE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F68CD5" w14:textId="77777777" w:rsidR="008548EA" w:rsidRDefault="00000000">
            <w:r>
              <w:rPr>
                <w:sz w:val="20"/>
                <w:szCs w:val="20"/>
              </w:rPr>
              <w:t>48%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EBE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85BA9F" w14:textId="77777777" w:rsidR="008548EA" w:rsidRDefault="00000000">
            <w:r>
              <w:rPr>
                <w:sz w:val="20"/>
                <w:szCs w:val="20"/>
              </w:rPr>
              <w:t>~70%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EBE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55272D" w14:textId="77777777" w:rsidR="008548EA" w:rsidRDefault="00000000">
            <w:r>
              <w:rPr>
                <w:sz w:val="20"/>
                <w:szCs w:val="20"/>
              </w:rPr>
              <w:t>~85%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EBE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CCB2C8" w14:textId="77777777" w:rsidR="008548EA" w:rsidRDefault="00000000">
            <w:r>
              <w:rPr>
                <w:sz w:val="20"/>
                <w:szCs w:val="20"/>
              </w:rPr>
              <w:t>~90%</w:t>
            </w:r>
          </w:p>
        </w:tc>
      </w:tr>
      <w:tr w:rsidR="008548EA" w14:paraId="3B91F221" w14:textId="77777777">
        <w:tc>
          <w:tcPr>
            <w:tcW w:w="2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47A782" w14:textId="77777777" w:rsidR="008548EA" w:rsidRDefault="00000000">
            <w:r>
              <w:rPr>
                <w:sz w:val="20"/>
                <w:szCs w:val="20"/>
              </w:rPr>
              <w:t>Cash Balance as % Gross Debt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F1EF21" w14:textId="77777777" w:rsidR="008548EA" w:rsidRDefault="00000000">
            <w:r>
              <w:rPr>
                <w:sz w:val="20"/>
                <w:szCs w:val="20"/>
              </w:rPr>
              <w:t>~12%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6FBB12" w14:textId="77777777" w:rsidR="008548EA" w:rsidRDefault="00000000">
            <w:r>
              <w:rPr>
                <w:sz w:val="20"/>
                <w:szCs w:val="20"/>
              </w:rPr>
              <w:t>~15%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68ABEE" w14:textId="77777777" w:rsidR="008548EA" w:rsidRDefault="00000000">
            <w:r>
              <w:rPr>
                <w:sz w:val="20"/>
                <w:szCs w:val="20"/>
              </w:rPr>
              <w:t>~17%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98B62E" w14:textId="77777777" w:rsidR="008548EA" w:rsidRDefault="00000000">
            <w:r>
              <w:rPr>
                <w:sz w:val="20"/>
                <w:szCs w:val="20"/>
              </w:rPr>
              <w:t>18.5%</w:t>
            </w:r>
          </w:p>
        </w:tc>
      </w:tr>
    </w:tbl>
    <w:p w14:paraId="6902B9A5" w14:textId="77777777" w:rsidR="008548EA" w:rsidRDefault="008548EA">
      <w:pPr>
        <w:spacing w:after="100"/>
      </w:pPr>
    </w:p>
    <w:p w14:paraId="2898F118" w14:textId="77777777" w:rsidR="008548EA" w:rsidRDefault="00000000">
      <w:pPr>
        <w:spacing w:before="60" w:after="60" w:line="320" w:lineRule="auto"/>
      </w:pPr>
      <w:r>
        <w:rPr>
          <w:i/>
          <w:iCs/>
          <w:color w:val="555555"/>
        </w:rPr>
        <w:lastRenderedPageBreak/>
        <w:t>Net Debt-to-EBITDA — the leverage metric Hindenburg criticized most — has fallen steadily from 3.8x in FY19 to 2.6x in FY25, among the lowest ratios of major global infrastructure peers, directly addressing the over-leverage claim.</w:t>
      </w:r>
    </w:p>
    <w:p w14:paraId="0E65ECC1" w14:textId="77777777" w:rsidR="008548EA" w:rsidRDefault="00000000">
      <w:pPr>
        <w:pStyle w:val="Heading1"/>
      </w:pPr>
      <w:r>
        <w:t>7. The November 2024 US Indictment</w:t>
      </w:r>
    </w:p>
    <w:p w14:paraId="77386314" w14:textId="77777777" w:rsidR="008548EA" w:rsidRDefault="00000000">
      <w:pPr>
        <w:pStyle w:val="Heading2"/>
        <w:pBdr>
          <w:bottom w:val="single" w:sz="4" w:space="4" w:color="CCCCCC"/>
        </w:pBdr>
      </w:pPr>
      <w:r>
        <w:t>7.1 The Allegations</w:t>
      </w:r>
    </w:p>
    <w:p w14:paraId="493DF498" w14:textId="77777777" w:rsidR="008548EA" w:rsidRDefault="00000000">
      <w:pPr>
        <w:spacing w:before="60" w:after="60" w:line="320" w:lineRule="auto"/>
      </w:pPr>
      <w:r>
        <w:t>In November 2024, US federal prosecutors indicted Gautam Adani and several executives, alleging a scheme to pay over $250 million in bribes to Indian officials to win solar energy contracts, and that the Group hid this from US investors while raising capital.</w:t>
      </w:r>
    </w:p>
    <w:p w14:paraId="68DD4EA5" w14:textId="77777777" w:rsidR="008548EA" w:rsidRDefault="008548EA">
      <w:pPr>
        <w:spacing w:after="50"/>
      </w:pPr>
    </w:p>
    <w:p w14:paraId="0D1F1192" w14:textId="77777777" w:rsidR="008548EA" w:rsidRDefault="00000000">
      <w:pPr>
        <w:pStyle w:val="Heading2"/>
        <w:pBdr>
          <w:bottom w:val="single" w:sz="4" w:space="4" w:color="CCCCCC"/>
        </w:pBdr>
      </w:pPr>
      <w:r>
        <w:t>7.2 Group Response &amp; Outcome</w:t>
      </w:r>
    </w:p>
    <w:p w14:paraId="7BF1CAA7" w14:textId="77777777" w:rsidR="008548E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Adani Group firmly denied the bribery and securities fraud charges</w:t>
      </w:r>
    </w:p>
    <w:p w14:paraId="05F866DA" w14:textId="77777777" w:rsidR="008548E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India's Supreme Court ruled the Group faces no extra domestic investigation beyond SEBI's ongoing review</w:t>
      </w:r>
    </w:p>
    <w:p w14:paraId="258E682D" w14:textId="77777777" w:rsidR="008548E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The Group's capex plans and fundraising continued largely unaffected</w:t>
      </w:r>
    </w:p>
    <w:p w14:paraId="633F5BEA" w14:textId="77777777" w:rsidR="008548E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Credit agencies kept or raised ratings on several Adani entities, reflecting confidence in its cash flows</w:t>
      </w:r>
    </w:p>
    <w:p w14:paraId="10B60A7C" w14:textId="77777777" w:rsidR="008548EA" w:rsidRDefault="008548EA">
      <w:pPr>
        <w:spacing w:before="60" w:after="60" w:line="320" w:lineRule="auto"/>
      </w:pPr>
    </w:p>
    <w:sectPr w:rsidR="008548EA">
      <w:footerReference w:type="default" r:id="rId8"/>
      <w:pgSz w:w="12240" w:h="15840"/>
      <w:pgMar w:top="1440" w:right="1260" w:bottom="1440" w:left="126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B520C6" w14:textId="77777777" w:rsidR="00213706" w:rsidRDefault="00213706">
      <w:r>
        <w:separator/>
      </w:r>
    </w:p>
  </w:endnote>
  <w:endnote w:type="continuationSeparator" w:id="0">
    <w:p w14:paraId="2E55CF8A" w14:textId="77777777" w:rsidR="00213706" w:rsidRDefault="002137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9BBDA75F-EDF4-40E1-A243-66976C1BA1AA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F56A43CF-A062-49CD-BE86-8AC114570B19}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  <w:embedRegular r:id="rId3" w:fontKey="{5E90888B-3A3D-4880-BD2F-9E52B4592CC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FE74DCD-2E91-4E34-9207-9DD8818EB36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CEEF34" w14:textId="77777777" w:rsidR="008548EA" w:rsidRDefault="008548EA">
    <w:pPr>
      <w:pBdr>
        <w:top w:val="single" w:sz="4" w:space="4" w:color="CCCCCC"/>
      </w:pBdr>
      <w:tabs>
        <w:tab w:val="right" w:pos="9026"/>
      </w:tabs>
      <w:spacing w:before="8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098761" w14:textId="77777777" w:rsidR="00213706" w:rsidRDefault="00213706">
      <w:r>
        <w:separator/>
      </w:r>
    </w:p>
  </w:footnote>
  <w:footnote w:type="continuationSeparator" w:id="0">
    <w:p w14:paraId="6B3D3094" w14:textId="77777777" w:rsidR="00213706" w:rsidRDefault="0021370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112267"/>
    <w:multiLevelType w:val="multilevel"/>
    <w:tmpl w:val="2AEAD802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080" w:hanging="36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937075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48EA"/>
    <w:rsid w:val="0020565D"/>
    <w:rsid w:val="00213706"/>
    <w:rsid w:val="008548EA"/>
    <w:rsid w:val="00C45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0FE87"/>
  <w15:docId w15:val="{B18E7B93-BD47-4F7E-A5A2-66588FACC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bn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360" w:after="120"/>
      <w:outlineLvl w:val="0"/>
    </w:pPr>
    <w:rPr>
      <w:b/>
      <w:bCs/>
      <w:color w:val="2C3E50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80" w:after="80"/>
      <w:outlineLvl w:val="1"/>
    </w:pPr>
    <w:rPr>
      <w:b/>
      <w:bCs/>
      <w:color w:val="B5121B"/>
      <w:sz w:val="28"/>
      <w:szCs w:val="28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00" w:after="60"/>
      <w:outlineLvl w:val="2"/>
    </w:pPr>
    <w:rPr>
      <w:b/>
      <w:bCs/>
      <w:color w:val="333333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J1U6bILmknbaV7uojL8rm52aPQ==">CgMxLjA4AHIhMWpqRV9VV08yWlBHdjg5YUc0VHh0WWV0VkczUnVENjJR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1105</Words>
  <Characters>6299</Characters>
  <Application>Microsoft Office Word</Application>
  <DocSecurity>0</DocSecurity>
  <Lines>52</Lines>
  <Paragraphs>14</Paragraphs>
  <ScaleCrop>false</ScaleCrop>
  <Company/>
  <LinksUpToDate>false</LinksUpToDate>
  <CharactersWithSpaces>7390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Indraditya Bhattacharyya</cp:lastModifiedBy>
  <cp:revision>2</cp:revision>
  <dcterms:created xsi:type="dcterms:W3CDTF">2026-10-11T12:41:00Z</dcterms:created>
  <dcterms:modified xsi:type="dcterms:W3CDTF">2026-10-11T12:41:00Z</dcterms:modified>
</cp:coreProperties>
</file>