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8B1538"/>
          <w:sz w:val="30"/>
          <w:szCs w:val="30"/>
        </w:rPr>
        <w:t xml:space="preserve">NOTE  DEL  CHIANTI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8B1538"/>
          <w:sz w:val="40"/>
          <w:szCs w:val="40"/>
        </w:rPr>
        <w:t xml:space="preserve">Report Performance Campagne Advertising</w:t>
      </w:r>
    </w:p>
    <w:p>
      <w:pPr>
        <w:pBdr>
          <w:bottom w:val="single" w:color="8B1538" w:sz="12" w:space="6"/>
        </w:pBd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 del Chianti  ·  Meta + Google Ads  ·  8 – 30 Aprile 2026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4"/>
      </w:tblGrid>
      <w:tr>
        <w:tc>
          <w:tcPr>
            <w:tcW w:type="dxa" w:w="9024"/>
            <w:tcBorders>
              <w:top w:val="single" w:color="9DC3E6" w:sz="6"/>
              <w:left w:val="single" w:color="9DC3E6" w:sz="18"/>
              <w:bottom w:val="single" w:color="9DC3E6" w:sz="6"/>
              <w:right w:val="single" w:color="9DC3E6" w:sz="6"/>
            </w:tcBorders>
            <w:shd w:fill="E7F0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Contesto del report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Periodo analizzato: </w:t>
            </w:r>
            <w:r>
              <w:rPr>
                <w:rFonts w:ascii="Arial" w:cs="Arial" w:eastAsia="Arial" w:hAnsi="Arial"/>
                <w:b/>
                <w:bCs/>
                <w:color w:val="8B1538"/>
                <w:sz w:val="20"/>
                <w:szCs w:val="20"/>
              </w:rPr>
              <w:t xml:space="preserve">8 – 30 Aprile 2026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(23 giorni). Il report copre entrambi i canali advertising attivi per Note del Chianti.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77F2"/>
                <w:sz w:val="20"/>
                <w:szCs w:val="20"/>
              </w:rPr>
              <w:t xml:space="preserve">  •  Meta (Facebook / Instagram):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attiva la campagna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NEW APRIL // NEW CREATIVES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(le altre 2 fasi sono inactive). 23 giorni di raccolta dati.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9D58"/>
                <w:sz w:val="20"/>
                <w:szCs w:val="20"/>
              </w:rPr>
              <w:t xml:space="preserve">  •  Google Ads: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lanciate il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Aprile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(16 giorni effettivi nel periodo).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Dati ordini: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 da backend PrestaShop. Alcune vendite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non sono state tracciate dal pixel/tag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 Meta o Google ma sono comunque attribuibili alle campagne (segnalate con asterisco). I valori reali integrano queste vendite.</w:t>
            </w:r>
          </w:p>
        </w:tc>
      </w:tr>
    </w:tbl>
    <w:p>
      <w:pPr>
        <w:pBdr>
          <w:bottom w:val="single" w:color="8B1538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8B1538"/>
          <w:sz w:val="26"/>
          <w:szCs w:val="26"/>
        </w:rPr>
        <w:t xml:space="preserve">1.  Risultati Globali  ·  Meta + Google Ads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Vista consolidata di entrambi i canali advertising nel periodo 8 – 30 Aprile 2026, integrando le vendite tracciate e quelle attribuibili da backend.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B1538"/>
                <w:sz w:val="40"/>
                <w:szCs w:val="40"/>
              </w:rPr>
              <w:t xml:space="preserve">€914,93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Spesa Totale Ads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Meta €651,93 + Google €263,00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40"/>
                <w:szCs w:val="40"/>
              </w:rPr>
              <w:t xml:space="preserve">11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Acquisti Reali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 tracciati + 6 da backend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40"/>
                <w:szCs w:val="40"/>
              </w:rPr>
              <w:t xml:space="preserve">€1.172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Ricavi Generati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 ordini PrestaShop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40"/>
                <w:szCs w:val="40"/>
              </w:rPr>
              <w:t xml:space="preserve">1,28x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ROAS Globale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CPA medio €83,18</w:t>
            </w:r>
          </w:p>
        </w:tc>
      </w:tr>
    </w:tbl>
    <w:p>
      <w:pPr>
        <w:spacing w:after="80" w:before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8B1538"/>
          <w:sz w:val="22"/>
          <w:szCs w:val="22"/>
        </w:rPr>
        <w:t xml:space="preserve">Confronto Canali  —  Meta vs Google Ads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200"/>
        <w:gridCol w:w="1000"/>
        <w:gridCol w:w="1200"/>
        <w:gridCol w:w="1100"/>
        <w:gridCol w:w="1324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Ordini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Ricavi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ROAS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77F2"/>
                <w:sz w:val="19"/>
                <w:szCs w:val="19"/>
              </w:rPr>
              <w:t xml:space="preserve">Meta Ads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 – 30 Aprile (23 gg)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€651,93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€577,00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0,89x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€93,13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9"/>
                <w:szCs w:val="19"/>
              </w:rPr>
              <w:t xml:space="preserve">Google Ads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 – 30 Aprile (16 gg)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€263,00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€595,00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9"/>
                <w:szCs w:val="19"/>
              </w:rPr>
              <w:t xml:space="preserve">2,26x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€65,75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538"/>
                <w:sz w:val="19"/>
                <w:szCs w:val="19"/>
              </w:rPr>
              <w:t xml:space="preserve">TOTALE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 – 30 Aprile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538"/>
                <w:sz w:val="19"/>
                <w:szCs w:val="19"/>
              </w:rPr>
              <w:t xml:space="preserve">€914,93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538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538"/>
                <w:sz w:val="19"/>
                <w:szCs w:val="19"/>
              </w:rPr>
              <w:t xml:space="preserve">€1.172,00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538"/>
                <w:sz w:val="19"/>
                <w:szCs w:val="19"/>
              </w:rPr>
              <w:t xml:space="preserve">1,28x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€83,18</w:t>
            </w:r>
          </w:p>
        </w:tc>
      </w:tr>
    </w:tbl>
    <w:p>
      <w:pPr>
        <w:spacing w:before="200"/>
      </w:pP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4"/>
      </w:tblGrid>
      <w:tr>
        <w:tc>
          <w:tcPr>
            <w:tcW w:type="dxa" w:w="9024"/>
            <w:tcBorders>
              <w:top w:val="single" w:color="8B1538" w:sz="6"/>
              <w:left w:val="single" w:color="8B1538" w:sz="18"/>
              <w:bottom w:val="single" w:color="8B1538" w:sz="6"/>
              <w:right w:val="single" w:color="8B1538" w:sz="6"/>
            </w:tcBorders>
            <w:shd w:fill="F4E4E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Lettura  ·  Bilancio Globale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▸ Google Ads sta performando meglio: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genera più ricavi (€595) di Meta (€577) con meno della metà del budget. ROAS Google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2,26x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contro Meta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0,89x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▸ Meta sotto break-even: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spesa (€651,93) supera i ricavi diretti (€577). Da analizzare creatività e qualità del traffico.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▸ Tracciamento incompleto: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 ordini su 11 (54%)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sono stati tracciati dal pixel Meta o dal tag Google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pari a €853 di ricavi invisibili nelle dashboard. Priorità il fix del tracking.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▸ ROAS combinato 1,28x: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campagne in attivo positivo se si considera l’intera attribution. Senza correzioni il ROAS apparente Meta sarebbe 0,46x.</w:t>
            </w:r>
          </w:p>
        </w:tc>
      </w:tr>
    </w:tbl>
    <w:p>
      <w:pPr>
        <w:pBdr>
          <w:bottom w:val="single" w:color="1877F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2.  Meta Ads  ·  Facebook / Instagram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Campagna attiva nel periodo: NOTE NEW APRIL // NEW CREATIVES (le 2 campagne PHASE 1 risultano inactive). Dati pixel Meta + integrazione backend.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877F2"/>
                <w:sz w:val="40"/>
                <w:szCs w:val="40"/>
              </w:rPr>
              <w:t xml:space="preserve">€651,93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Spesa Meta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23 giorni di delivery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40"/>
                <w:szCs w:val="40"/>
              </w:rPr>
              <w:t xml:space="preserve">7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Acquisti Reali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 pixel + 3 da backend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40"/>
                <w:szCs w:val="40"/>
              </w:rPr>
              <w:t xml:space="preserve">€577,00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Ricavi Meta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 7 ordini verificati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0,89x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ROAS Meta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CPA reale €93,13</w:t>
            </w:r>
          </w:p>
        </w:tc>
      </w:tr>
    </w:tbl>
    <w:p>
      <w:pPr>
        <w:spacing w:after="80" w:before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Funnel di Conversione  —  NOTE NEW APRIL // NEW CREATIVES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324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Tasso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Impression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123.468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Click sul link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1.401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1,13% CTR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Visualizzazioni pagina prodotto (LPV)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169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12,1% dei click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Acquisti tracciati dal pixel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2,4% delle LPV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19"/>
                <w:szCs w:val="19"/>
              </w:rPr>
              <w:t xml:space="preserve">Acquisti reali (backend)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9"/>
                <w:szCs w:val="19"/>
              </w:rPr>
              <w:t xml:space="preserve">7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9"/>
                <w:szCs w:val="19"/>
              </w:rPr>
              <w:t xml:space="preserve">+75% vs pixel</w:t>
            </w:r>
          </w:p>
        </w:tc>
      </w:tr>
    </w:tbl>
    <w:p>
      <w:pPr>
        <w:spacing w:after="80" w:before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Metriche di Consegna ed Engagement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000"/>
        <w:gridCol w:w="1100"/>
        <w:gridCol w:w="1100"/>
        <w:gridCol w:w="1000"/>
        <w:gridCol w:w="1324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CPC link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link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LPV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 / LPV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48.409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123.468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2,55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€5,28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€0,47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1,13%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169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€3,86</w:t>
            </w:r>
          </w:p>
        </w:tc>
      </w:tr>
    </w:tbl>
    <w:p>
      <w:pPr>
        <w:spacing w:after="80" w:before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Ordini Attribuibili a Meta Ads  ·  7 ordini  ·  €577,00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850"/>
        <w:gridCol w:w="1250"/>
        <w:gridCol w:w="1250"/>
        <w:gridCol w:w="1100"/>
        <w:gridCol w:w="1100"/>
        <w:gridCol w:w="1524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Paese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Pixel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4399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R. Cavalcante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Italia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Perfumes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€188,00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 *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08/04 · 16:02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4404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C. Rossato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Italia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Atelier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€20,00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 *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15/04 · 18:18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4405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M. Tumminaro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Italia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Perfumes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€71,00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 *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16/04 · 13:58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4406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S. Villani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Italia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Perfumes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€19,00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9"/>
                <w:szCs w:val="19"/>
              </w:rPr>
              <w:t xml:space="preserve">SÌ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16/04 · 20:17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4411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R. Arena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Italia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Atelier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€149,00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9"/>
                <w:szCs w:val="19"/>
              </w:rPr>
              <w:t xml:space="preserve">SÌ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21/04 · 23:44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4413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S. Mackenzie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Regno Unito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Atelier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€109,00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9"/>
                <w:szCs w:val="19"/>
              </w:rPr>
              <w:t xml:space="preserve">SÌ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23/04 · 15:58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4414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A. Verta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Italia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Atelier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€21,00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9"/>
                <w:szCs w:val="19"/>
              </w:rPr>
              <w:t xml:space="preserve">SÌ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24/04 · 11:40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77F2"/>
                <w:sz w:val="19"/>
                <w:szCs w:val="19"/>
              </w:rPr>
              <w:t xml:space="preserve">TOTALE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77F2"/>
                <w:sz w:val="19"/>
                <w:szCs w:val="19"/>
              </w:rPr>
              <w:t xml:space="preserve">7 ordini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 Perf · 4 Atel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77F2"/>
                <w:sz w:val="19"/>
                <w:szCs w:val="19"/>
              </w:rPr>
              <w:t xml:space="preserve">€577,00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 SÌ · 3 NO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* Ordini non tracciati dal pixel Meta — verificati manualmente da backend PrestaShop e attribuibili alla campagna sulla base di referrer/UTM/timing.</w:t>
      </w:r>
    </w:p>
    <w:p>
      <w:pPr>
        <w:pBdr>
          <w:bottom w:val="single" w:color="0F9D58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0F9D58"/>
          <w:sz w:val="26"/>
          <w:szCs w:val="26"/>
        </w:rPr>
        <w:t xml:space="preserve">3.  Google Ads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Campagne lanciate il 15 Aprile (16 giorni di attività nel periodo). Il tracking conversioni è ancora in fase di setup: 3 ordini su 4 risultano non tracciati ma attribuibili.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9D58"/>
                <w:sz w:val="40"/>
                <w:szCs w:val="40"/>
              </w:rPr>
              <w:t xml:space="preserve">€263,00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Spesa Google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15 – 30 Aprile (16 gg)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40"/>
                <w:szCs w:val="40"/>
              </w:rPr>
              <w:t xml:space="preserve">4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Acquisti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 tracciato + 3 da backend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40"/>
                <w:szCs w:val="40"/>
              </w:rPr>
              <w:t xml:space="preserve">€595,00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Ricavi Google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 4 ordini verificati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40"/>
                <w:szCs w:val="40"/>
              </w:rPr>
              <w:t xml:space="preserve">2,26x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ROAS Google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CPA €65,75</w:t>
            </w:r>
          </w:p>
        </w:tc>
      </w:tr>
    </w:tbl>
    <w:p>
      <w:pPr>
        <w:spacing w:after="80" w:before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9D58"/>
          <w:sz w:val="22"/>
          <w:szCs w:val="22"/>
        </w:rPr>
        <w:t xml:space="preserve">Ordini Attribuibili a Google Ads  ·  4 ordini  ·  €595,00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850"/>
        <w:gridCol w:w="1250"/>
        <w:gridCol w:w="1250"/>
        <w:gridCol w:w="1100"/>
        <w:gridCol w:w="1100"/>
        <w:gridCol w:w="1524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9D5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9D5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9D5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Paese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9D5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9D5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9D5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9D5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4409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L. Brunker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Australia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Perfumes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€356,00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 *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21/04 · 02:23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4412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G. Cardillo Piacentini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Italia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Perfumes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€21,00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9"/>
                <w:szCs w:val="19"/>
              </w:rPr>
              <w:t xml:space="preserve">SÌ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22/04 · 16:19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4416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I. Lapenna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Italia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Atelier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€69,00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 *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25/04 · 12:42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4421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F. Vannini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Italia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Atelier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€149,00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 *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29/04 · 16:43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9"/>
                <w:szCs w:val="19"/>
              </w:rPr>
              <w:t xml:space="preserve">TOTALE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9"/>
                <w:szCs w:val="19"/>
              </w:rPr>
              <w:t xml:space="preserve">4 ordini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Perf · 2 Atel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9"/>
                <w:szCs w:val="19"/>
              </w:rPr>
              <w:t xml:space="preserve">€595,00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 SÌ · 3 NO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* Ordini non tracciati dal tag Google — verificati manualmente da backend e attribuibili alla campagna.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4"/>
      </w:tblGrid>
      <w:tr>
        <w:tc>
          <w:tcPr>
            <w:tcW w:type="dxa" w:w="9024"/>
            <w:tcBorders>
              <w:top w:val="single" w:color="0F9D58" w:sz="6"/>
              <w:left w:val="single" w:color="0F9D58" w:sz="18"/>
              <w:bottom w:val="single" w:color="0F9D58" w:sz="6"/>
              <w:right w:val="single" w:color="0F9D58" w:sz="6"/>
            </w:tcBorders>
            <w:shd w:fill="E2F0E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Lettura  ·  Google Ads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▸ Best performer: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l’ordine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4409 (Australia, €356)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 solo copre il ROAS della spesa Google complessiva. Indicativo di un mercato internazionale ricettivo da approfondire.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▸ Tracking da sistemare: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acquisti su 4 non sono tracciati dal tag Google Ads. Verificare implementazione del Conversion Tracking (gtag/GTM) sulla thank you page.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▸ Bilancio canale: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ROAS 2,26x in soli 16 giorni di attività con €263 di budget — segnale molto positivo. Da considerare un incremento progressivo del budget Google a parità di setup.</w:t>
            </w:r>
          </w:p>
        </w:tc>
      </w:tr>
    </w:tbl>
    <w:p>
      <w:pPr>
        <w:pBdr>
          <w:bottom w:val="single" w:color="BF8F00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4.  Analisi del Tracciamento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Sintesi degli ordini tracciati dai sistemi pubblicitari rispetto a quelli effettivamente attribuibili da backend PrestaShop.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300"/>
        <w:gridCol w:w="1200"/>
        <w:gridCol w:w="1400"/>
        <w:gridCol w:w="1500"/>
        <w:gridCol w:w="1324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Tracciati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 Tracciati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Totale Reali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Ricavi tracciati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Ricavi non tracciati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53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non tracciato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77F2"/>
                <w:sz w:val="19"/>
                <w:szCs w:val="19"/>
              </w:rPr>
              <w:t xml:space="preserve">Meta Ads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€298,00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€279,00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FF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48,4%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9"/>
                <w:szCs w:val="19"/>
              </w:rPr>
              <w:t xml:space="preserve">Google Ads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€21,00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€574,00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96,5%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538"/>
                <w:sz w:val="19"/>
                <w:szCs w:val="19"/>
              </w:rPr>
              <w:t xml:space="preserve">TOTALE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538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€319,00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€853,00</w:t>
            </w:r>
          </w:p>
        </w:tc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4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72,8%</w:t>
            </w:r>
          </w:p>
        </w:tc>
      </w:tr>
    </w:tbl>
    <w:p>
      <w:pPr>
        <w:spacing w:before="200"/>
      </w:pP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4"/>
      </w:tblGrid>
      <w:tr>
        <w:tc>
          <w:tcPr>
            <w:tcW w:type="dxa" w:w="9024"/>
            <w:tcBorders>
              <w:top w:val="single" w:color="BF8F00" w:sz="6"/>
              <w:left w:val="single" w:color="BF8F00" w:sz="18"/>
              <w:bottom w:val="single" w:color="BF8F00" w:sz="6"/>
              <w:right w:val="single" w:color="BF8F00" w:sz="6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Implicazioni del tracciamento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▸ Il 72,8% dei ricavi pubblicitari non è visibile nelle dashboard Meta/Google.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Le piattaforme stanno ottimizzando con dati parziali, riducendo l’efficacia degli algoritmi di apprendimento.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▸ Google Ads è particolarmente impattato: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solo 1 ordine su 4 tracciato. ROAS apparente in dashboard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0,08x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↔ ROAS reale </w:t>
            </w: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2,26x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La differenza è 28× più alta a favore della realtà.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1538"/>
                <w:sz w:val="20"/>
                <w:szCs w:val="20"/>
              </w:rPr>
              <w:t xml:space="preserve">▸ Azione immediata: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audit completo del tracking — pixel Meta (eventi Purchase, AddToCart), tag Google (Conversion Tracking, Enhanced Conversions), GA4. Stima 1–2 giorni di lavoro tecnico.</w:t>
            </w:r>
          </w:p>
        </w:tc>
      </w:tr>
    </w:tbl>
    <w:p>
      <w:pPr>
        <w:pBdr>
          <w:bottom w:val="single" w:color="8B1538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8B1538"/>
          <w:sz w:val="26"/>
          <w:szCs w:val="26"/>
        </w:rPr>
        <w:t xml:space="preserve">5.  Priorità e Prossimi Passi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4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 1</w:t>
            </w:r>
          </w:p>
        </w:tc>
        <w:tc>
          <w:tcPr>
            <w:tcW w:type="dxa" w:w="7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Audit completo tracciamento conversioni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Il 72,8% delle vendite non è tracciato. Verificare e ricostruire: (1) Pixel Meta — eventi Purchase, ViewContent, AddToCart. (2) Google Ads Conversion Tracking + Enhanced Conversions. (3) GA4 e collegamento ai due account. Senza questo fix, gli algoritmi di Meta e Google ottimizzano su dati parziali.</w:t>
            </w:r>
          </w:p>
        </w:tc>
      </w:tr>
    </w:tbl>
    <w:p>
      <w:pPr>
        <w:spacing w:after="120"/>
      </w:pP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4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8F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 2</w:t>
            </w:r>
          </w:p>
        </w:tc>
        <w:tc>
          <w:tcPr>
            <w:tcW w:type="dxa" w:w="7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Analisi creatività Meta — break-even non raggiunto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ROAS Meta 0,89x: spesa (€651,93) sopra ricavi (€577) anche includendo ordini non tracciati. Da rivedere il mix creativo della campagna NOTE NEW APRIL // NEW CREATIVES e valutare la riattivazione delle 2 fasi PHASE 1 (attualmente inactive) con creatività testate.</w:t>
            </w:r>
          </w:p>
        </w:tc>
      </w:tr>
    </w:tbl>
    <w:p>
      <w:pPr>
        <w:spacing w:after="120"/>
      </w:pP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4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07C4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 3</w:t>
            </w:r>
          </w:p>
        </w:tc>
        <w:tc>
          <w:tcPr>
            <w:tcW w:type="dxa" w:w="7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Scaling Google Ads — performance positive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ROAS Google 2,26x in 16 giorni. Considerare incremento progressivo del budget (es. +30% nei prossimi 14 giorni) mantenendo struttura attuale. Approfondire il caso Australia (ordine €356): valutare estensione targeting su mercati anglosassoni.</w:t>
            </w:r>
          </w:p>
        </w:tc>
      </w:tr>
    </w:tbl>
    <w:p>
      <w:pPr>
        <w:spacing w:after="120"/>
      </w:pP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4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77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corso</w:t>
            </w:r>
          </w:p>
        </w:tc>
        <w:tc>
          <w:tcPr>
            <w:tcW w:type="dxa" w:w="7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Monitoraggio settimanale e seconda finestra Atelier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Atelier ha generato 6 ordini su 11 (€520 / €1.172 = 44% dei ricavi). Conferma il trend: la creatività Meta che mostra il processo guidato dell’Alchimista resta una opportunità chiave da testare. Prossimo report previsto: 7 Maggio 2026.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Prossimo aggiornamento: 7 Maggio 2026.  ·  Dati estratti da Meta Ads Manager, Google Ads, e backend PrestaShop alla data del 30 Aprile 2026.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Alpha Digital  ·  Report Note del Chianti  ·  8 – 30 Aprile 2026  ·  Fonti: Meta Ads Manager · Google Ads · Backend PrestaShop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8B15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8B153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Performance Campagne Advertising — Note del Chianti</dc:title>
  <dc:creator>Alpha Digital</dc:creator>
  <cp:lastModifiedBy>Un-named</cp:lastModifiedBy>
  <cp:revision>1</cp:revision>
  <dcterms:created xsi:type="dcterms:W3CDTF">2026-04-30T12:27:58.225Z</dcterms:created>
  <dcterms:modified xsi:type="dcterms:W3CDTF">2026-04-30T12:27:58.226Z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