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策略分析报告[35] 2013-01-07 - 2018-10-18 (1407 days)</w:t>
      </w:r>
    </w:p>
    <w:p/>
    <w:p/>
    <w:p>
      <w:pPr>
        <w:pStyle w:val="Heading1"/>
      </w:pPr>
      <w:r>
        <w:t>1、策略回测收益曲线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r 16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2、策略回撤曲线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down 813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3、散点图矩阵图（Scatter Matrix）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matrix 289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4、相关性矩阵图（Correlation）</w:t>
      </w:r>
    </w:p>
    <w:p>
      <w:r>
        <w:drawing>
          <wp:inline xmlns:a="http://schemas.openxmlformats.org/drawingml/2006/main" xmlns:pic="http://schemas.openxmlformats.org/drawingml/2006/picture">
            <wp:extent cx="109728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 791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5、绩效统计数据（Porformance stat）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RB_rr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rr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rr no commission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start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2013-01-07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2013-01-07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2013-01-07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end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2018-10-18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2018-10-18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2018-10-18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rf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0.03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0.03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0.03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total_return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7.83%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-26.92%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4.04%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cagr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1.31%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-5.28%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0.69%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max_drawdown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-66.90%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-96.03%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-79.50%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calmar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0.02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-0.05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0.01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mtd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4.16%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5.51%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3.83%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three_month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8.82%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0.19%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1.44%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six_month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24.42%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14.23%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13.56%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ytd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19.54%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20.32%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19.54%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one_year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22.39%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8.15%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13.02%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three_year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40.73%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30.86%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31.19%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five_year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4.77%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-2.06%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4.19%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ten_year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1.31%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-5.28%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0.69%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incep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1.31%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-5.28%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0.69%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daily_sharpe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0.07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0.35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0.12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daily_sortino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0.11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0.69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0.20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daily_mean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0.05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0.07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daily_vol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0.26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1.01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0.37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daily_skew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0.11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6.88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1.11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daily_kurt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3.37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126.46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15.12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best_day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6.88%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121.48%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22.09%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worst_day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-8.10%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-46.62%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-14.04%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monthly_sharpe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0.04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0.29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0.14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monthly_sortino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0.73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0.26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monthly_mean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0.04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0.29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0.09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monthly_vol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0.26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0.91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0.41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monthly_skew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0.30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3.43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0.28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monthly_kurt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1.34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22.98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4.35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best_month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20.79%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165.80%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41.53%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worst_month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-23.33%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-78.64%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-44.95%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yearly_sharpe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0.22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0.03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0.14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yearly_sortino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0.53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0.06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0.33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yearly_mean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0.04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0.08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yearly_vol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0.44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0.42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0.35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yearly_skew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-0.12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0.49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0.49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yearly_kurt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-2.66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-0.37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-0.40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best_year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62.01%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63.92%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57.25%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worst_year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-35.68%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-42.75%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-30.42%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avg_drawdown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-10.23%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-20.51%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-9.58%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avg_drawdown_days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261.00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260.12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121.18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avg_up_month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6.66%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18.19%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9.75%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avg_down_month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-0.05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-0.10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>-0.07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win_year_perc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60.00%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60.00%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60.00%</w:t>
            </w:r>
          </w:p>
        </w:tc>
      </w:tr>
      <w:tr>
        <w:tc>
          <w:tcPr>
            <w:tcW w:type="dxa" w:w="2160"/>
            <w:shd w:fill="A3D9EA"/>
          </w:tcPr>
          <w:p>
            <w:pPr>
              <w:jc w:val="left"/>
            </w:pPr>
            <w:r>
              <w:rPr>
                <w:b/>
              </w:rPr>
              <w:t>twelve_month_win_perc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50.85%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30.51%</w:t>
            </w:r>
          </w:p>
        </w:tc>
        <w:tc>
          <w:tcPr>
            <w:tcW w:type="dxa" w:w="2160"/>
            <w:shd w:fill="A3D9EA"/>
          </w:tcPr>
          <w:p>
            <w:pPr>
              <w:jc w:val="right"/>
            </w:pPr>
            <w:r>
              <w:t xml:space="preserve"> 35.59%</w:t>
            </w:r>
          </w:p>
        </w:tc>
      </w:tr>
    </w:tbl>
    <w:p>
      <w:r>
        <w:br w:type="page"/>
      </w:r>
    </w:p>
    <w:p>
      <w:pPr>
        <w:pStyle w:val="Heading1"/>
      </w:pPr>
      <w:r>
        <w:t>6、买卖点记录</w:t>
      </w:r>
    </w:p>
    <w:p>
      <w:r>
        <w:drawing>
          <wp:inline xmlns:a="http://schemas.openxmlformats.org/drawingml/2006/main" xmlns:pic="http://schemas.openxmlformats.org/drawingml/2006/picture">
            <wp:extent cx="182880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 MD and Trade figure [35]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FFDE00"/>
      <w:sz w:val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