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数据分析报告 2002-06-25 - 2019-05-23 (4087 days)</w:t>
      </w:r>
    </w:p>
    <w:p/>
    <w:p/>
    <w:p>
      <w:pPr>
        <w:pStyle w:val="Heading1"/>
      </w:pPr>
      <w:r>
        <w:t>1、警告信息（Warning）</w:t>
      </w:r>
    </w:p>
    <w:p>
      <w:r>
        <w:rPr>
          <w:color w:val="AF2626"/>
        </w:rPr>
        <w:t>2003-01-29 到下一个交易日间存在 12 天没有行情数据，可能存在数据遗漏</w:t>
      </w:r>
      <w:r>
        <w:br/>
      </w:r>
      <w:r>
        <w:rPr>
          <w:color w:val="AF2626"/>
        </w:rPr>
        <w:t>2003-04-30 到下一个交易日间存在 12 天没有行情数据，可能存在数据遗漏</w:t>
      </w:r>
      <w:r>
        <w:br/>
      </w:r>
      <w:r>
        <w:rPr>
          <w:color w:val="AF2626"/>
        </w:rPr>
        <w:t>2004-01-16 到下一个交易日间存在 13 天没有行情数据，可能存在数据遗漏</w:t>
      </w:r>
      <w:r>
        <w:br/>
      </w:r>
      <w:r>
        <w:rPr>
          <w:color w:val="AF2626"/>
        </w:rPr>
        <w:t>2005-02-04 到下一个交易日间存在 12 天没有行情数据，可能存在数据遗漏</w:t>
      </w:r>
      <w:r>
        <w:br/>
      </w:r>
      <w:r>
        <w:rPr>
          <w:color w:val="AF2626"/>
        </w:rPr>
        <w:t>2007-09-26 到下一个交易日间存在 12 天没有行情数据，可能存在数据遗漏</w:t>
      </w:r>
      <w:r>
        <w:br/>
      </w:r>
    </w:p>
    <w:p>
      <w:r>
        <w:br w:type="page"/>
      </w:r>
    </w:p>
    <w:p>
      <w:pPr>
        <w:pStyle w:val="Heading1"/>
      </w:pPr>
      <w:r>
        <w:t>2、行情曲线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r RU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3、Histgram 分布图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 R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4、分位数信息（Quantile）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A2E8"/>
          </w:tcPr>
          <w:p/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0.2</w:t>
            </w:r>
          </w:p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0.33</w:t>
            </w:r>
          </w:p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0.5</w:t>
            </w:r>
          </w:p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0.66</w:t>
            </w:r>
          </w:p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0.8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b/>
              </w:rPr>
              <w:t>close rr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-1.26%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-0.58%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 xml:space="preserve"> 0.02%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 xml:space="preserve"> 0.56%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 xml:space="preserve"> 1.26%</w:t>
            </w:r>
          </w:p>
        </w:tc>
      </w:tr>
    </w:tbl>
    <w:p>
      <w:r>
        <w:br w:type="page"/>
      </w:r>
    </w:p>
    <w:p>
      <w:pPr>
        <w:pStyle w:val="Heading1"/>
      </w:pPr>
      <w:r>
        <w:t>5、未来N日收益率最高最低值分布图</w:t>
      </w:r>
    </w:p>
    <w:p>
      <w:pPr>
        <w:pStyle w:val="Heading2"/>
      </w:pPr>
      <w:r>
        <w:t>5.1) 未来 3 日 close 收益率最高最低值分布图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 3 close future R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5.1.1) 分位数信息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A2E8"/>
          </w:tcPr>
          <w:p/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0.2</w:t>
            </w:r>
          </w:p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0.33</w:t>
            </w:r>
          </w:p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0.5</w:t>
            </w:r>
          </w:p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0.66</w:t>
            </w:r>
          </w:p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0.8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b/>
              </w:rPr>
              <w:t>close max rr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 xml:space="preserve"> 0.83%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 xml:space="preserve"> 1.17%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 xml:space="preserve"> 1.74%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 xml:space="preserve"> 2.43%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 xml:space="preserve"> 3.32%</w:t>
            </w:r>
          </w:p>
        </w:tc>
      </w:tr>
      <w:tr>
        <w:tc>
          <w:tcPr>
            <w:tcW w:type="dxa" w:w="1440"/>
            <w:shd w:fill="A3D9EA"/>
          </w:tcPr>
          <w:p>
            <w:pPr>
              <w:jc w:val="left"/>
            </w:pPr>
            <w:r>
              <w:rPr>
                <w:b/>
              </w:rPr>
              <w:t>close min rr</w:t>
            </w:r>
          </w:p>
        </w:tc>
        <w:tc>
          <w:tcPr>
            <w:tcW w:type="dxa" w:w="1440"/>
            <w:shd w:fill="A3D9EA"/>
          </w:tcPr>
          <w:p>
            <w:pPr>
              <w:jc w:val="right"/>
            </w:pPr>
            <w:r>
              <w:t>-3.34%</w:t>
            </w:r>
          </w:p>
        </w:tc>
        <w:tc>
          <w:tcPr>
            <w:tcW w:type="dxa" w:w="1440"/>
            <w:shd w:fill="A3D9EA"/>
          </w:tcPr>
          <w:p>
            <w:pPr>
              <w:jc w:val="right"/>
            </w:pPr>
            <w:r>
              <w:t>-2.53%</w:t>
            </w:r>
          </w:p>
        </w:tc>
        <w:tc>
          <w:tcPr>
            <w:tcW w:type="dxa" w:w="1440"/>
            <w:shd w:fill="A3D9EA"/>
          </w:tcPr>
          <w:p>
            <w:pPr>
              <w:jc w:val="right"/>
            </w:pPr>
            <w:r>
              <w:t>-1.79%</w:t>
            </w:r>
          </w:p>
        </w:tc>
        <w:tc>
          <w:tcPr>
            <w:tcW w:type="dxa" w:w="1440"/>
            <w:shd w:fill="A3D9EA"/>
          </w:tcPr>
          <w:p>
            <w:pPr>
              <w:jc w:val="right"/>
            </w:pPr>
            <w:r>
              <w:t>-1.24%</w:t>
            </w:r>
          </w:p>
        </w:tc>
        <w:tc>
          <w:tcPr>
            <w:tcW w:type="dxa" w:w="1440"/>
            <w:shd w:fill="A3D9EA"/>
          </w:tcPr>
          <w:p>
            <w:pPr>
              <w:jc w:val="right"/>
            </w:pPr>
            <w:r>
              <w:t>-0.85%</w:t>
            </w:r>
          </w:p>
        </w:tc>
      </w:tr>
    </w:tbl>
    <w:p>
      <w:pPr>
        <w:pStyle w:val="Heading3"/>
      </w:pPr>
      <w:r>
        <w:t>5.1.2) 三分类标签分布比例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bel distribution close[-0.85%~0.83%]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A2E8"/>
          </w:tcPr>
          <w:p/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1 under -0.85%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2 over 0.83%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pct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9.69%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44.60%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45.71%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bel distribution close[-1.24%~1.17%]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A2E8"/>
          </w:tcPr>
          <w:p/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1 under -1.24%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2 over 1.17%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pct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19.40%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39.76%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40.84%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bel distribution close[-1.79%~1.74%]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A2E8"/>
          </w:tcPr>
          <w:p/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1 under -1.79%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2 over 1.74%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pct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34.87%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32.96%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32.18%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bel distribution close[-2.53%~2.43%]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A2E8"/>
          </w:tcPr>
          <w:p/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1 under -2.53%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2 over 2.43%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pct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52.39%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23.44%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24.17%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bel distribution close[-3.34%~3.32%]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A2E8"/>
          </w:tcPr>
          <w:p/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1 under -3.34%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2 over 3.32%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pct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68.29%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15.81%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15.90%</w:t>
            </w:r>
          </w:p>
        </w:tc>
      </w:tr>
    </w:tbl>
    <w:p>
      <w:r>
        <w:br w:type="page"/>
      </w:r>
    </w:p>
    <w:p>
      <w:pPr>
        <w:pStyle w:val="Heading2"/>
      </w:pPr>
      <w:r>
        <w:t>5.2) 未来 5 日 close 收益率最高最低值分布图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 5 close future RU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5.2.1) 分位数信息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A2E8"/>
          </w:tcPr>
          <w:p/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0.2</w:t>
            </w:r>
          </w:p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0.33</w:t>
            </w:r>
          </w:p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0.5</w:t>
            </w:r>
          </w:p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0.66</w:t>
            </w:r>
          </w:p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0.8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b/>
              </w:rPr>
              <w:t>close max rr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 xml:space="preserve"> 1.50%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 xml:space="preserve"> 2.04%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 xml:space="preserve"> 2.89%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 xml:space="preserve"> 3.82%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 xml:space="preserve"> 5.06%</w:t>
            </w:r>
          </w:p>
        </w:tc>
      </w:tr>
      <w:tr>
        <w:tc>
          <w:tcPr>
            <w:tcW w:type="dxa" w:w="1440"/>
            <w:shd w:fill="A3D9EA"/>
          </w:tcPr>
          <w:p>
            <w:pPr>
              <w:jc w:val="left"/>
            </w:pPr>
            <w:r>
              <w:rPr>
                <w:b/>
              </w:rPr>
              <w:t>close min rr</w:t>
            </w:r>
          </w:p>
        </w:tc>
        <w:tc>
          <w:tcPr>
            <w:tcW w:type="dxa" w:w="1440"/>
            <w:shd w:fill="A3D9EA"/>
          </w:tcPr>
          <w:p>
            <w:pPr>
              <w:jc w:val="right"/>
            </w:pPr>
            <w:r>
              <w:t>-5.06%</w:t>
            </w:r>
          </w:p>
        </w:tc>
        <w:tc>
          <w:tcPr>
            <w:tcW w:type="dxa" w:w="1440"/>
            <w:shd w:fill="A3D9EA"/>
          </w:tcPr>
          <w:p>
            <w:pPr>
              <w:jc w:val="right"/>
            </w:pPr>
            <w:r>
              <w:t>-3.85%</w:t>
            </w:r>
          </w:p>
        </w:tc>
        <w:tc>
          <w:tcPr>
            <w:tcW w:type="dxa" w:w="1440"/>
            <w:shd w:fill="A3D9EA"/>
          </w:tcPr>
          <w:p>
            <w:pPr>
              <w:jc w:val="right"/>
            </w:pPr>
            <w:r>
              <w:t>-2.95%</w:t>
            </w:r>
          </w:p>
        </w:tc>
        <w:tc>
          <w:tcPr>
            <w:tcW w:type="dxa" w:w="1440"/>
            <w:shd w:fill="A3D9EA"/>
          </w:tcPr>
          <w:p>
            <w:pPr>
              <w:jc w:val="right"/>
            </w:pPr>
            <w:r>
              <w:t>-2.19%</w:t>
            </w:r>
          </w:p>
        </w:tc>
        <w:tc>
          <w:tcPr>
            <w:tcW w:type="dxa" w:w="1440"/>
            <w:shd w:fill="A3D9EA"/>
          </w:tcPr>
          <w:p>
            <w:pPr>
              <w:jc w:val="right"/>
            </w:pPr>
            <w:r>
              <w:t>-1.59%</w:t>
            </w:r>
          </w:p>
        </w:tc>
      </w:tr>
    </w:tbl>
    <w:p>
      <w:pPr>
        <w:pStyle w:val="Heading3"/>
      </w:pPr>
      <w:r>
        <w:t>5.2.2) 三分类标签分布比例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bel distribution close[-1.59%~1.50%]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A2E8"/>
          </w:tcPr>
          <w:p/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1 under -1.59%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2 over 1.50%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pct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13.46%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43.33%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43.21%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bel distribution close[-2.19%~2.04%]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A2E8"/>
          </w:tcPr>
          <w:p/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1 under -2.19%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2 over 2.04%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pct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25.23%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37.02%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37.75%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bel distribution close[-2.95%~2.89%]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A2E8"/>
          </w:tcPr>
          <w:p/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1 under -2.95%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2 over 2.89%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pct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41.91%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29.12%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28.97%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bel distribution close[-3.85%~3.82%]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A2E8"/>
          </w:tcPr>
          <w:p/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1 under -3.85%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2 over 3.82%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pct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58.60%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20.82%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20.58%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bel distribution close[-5.06%~5.06%]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00A2E8"/>
          </w:tcPr>
          <w:p/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0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1 under -5.06%</w:t>
            </w:r>
          </w:p>
        </w:tc>
        <w:tc>
          <w:tcPr>
            <w:tcW w:type="dxa" w:w="2160"/>
            <w:shd w:fill="00A2E8"/>
          </w:tcPr>
          <w:p>
            <w:pPr>
              <w:jc w:val="center"/>
            </w:pPr>
            <w:r>
              <w:rPr>
                <w:b/>
              </w:rPr>
              <w:t>2 over 5.06%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pct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73.28%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13.48%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 xml:space="preserve"> 13.24%</w:t>
            </w:r>
          </w:p>
        </w:tc>
      </w:tr>
    </w:tbl>
    <w:p>
      <w:r>
        <w:br w:type="page"/>
      </w:r>
    </w:p>
    <w:p>
      <w:pPr>
        <w:pStyle w:val="Heading1"/>
      </w:pPr>
      <w:r>
        <w:t>6、行情回撤曲线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wdown RU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7、散点图矩阵图（Scatter Matrix）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_matrix RU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8、相关性矩阵图（Correlation）</w:t>
      </w:r>
    </w:p>
    <w:p>
      <w:r>
        <w:drawing>
          <wp:inline xmlns:a="http://schemas.openxmlformats.org/drawingml/2006/main" xmlns:pic="http://schemas.openxmlformats.org/drawingml/2006/picture">
            <wp:extent cx="10972800" cy="54864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 RU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  <w:jc w:val="center"/>
      </w:pPr>
      <w:r>
        <w:t>close 数据分析结果</w:t>
      </w:r>
    </w:p>
    <w:p/>
    <w:p/>
    <w:p>
      <w:pPr>
        <w:pStyle w:val="Heading1"/>
      </w:pPr>
      <w:r>
        <w:t>1、分位数信息（Quantile）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shd w:fill="00A2E8"/>
          </w:tcPr>
          <w:p/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0.25</w:t>
            </w:r>
          </w:p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0.33</w:t>
            </w:r>
          </w:p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0.5</w:t>
            </w:r>
          </w:p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0.66</w:t>
            </w:r>
          </w:p>
        </w:tc>
        <w:tc>
          <w:tcPr>
            <w:tcW w:type="dxa" w:w="1440"/>
            <w:shd w:fill="00A2E8"/>
          </w:tcPr>
          <w:p>
            <w:pPr>
              <w:jc w:val="center"/>
            </w:pPr>
            <w:r>
              <w:rPr>
                <w:b/>
              </w:rPr>
              <w:t>0.75</w:t>
            </w:r>
          </w:p>
        </w:tc>
      </w:tr>
      <w:tr>
        <w:tc>
          <w:tcPr>
            <w:tcW w:type="dxa" w:w="1440"/>
          </w:tcPr>
          <w:p>
            <w:pPr>
              <w:jc w:val="left"/>
            </w:pPr>
            <w:r>
              <w:rPr>
                <w:b/>
              </w:rPr>
              <w:t>close rr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-0.98%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-0.58%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 xml:space="preserve"> 0.02%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 xml:space="preserve"> 0.56%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 xml:space="preserve"> 0.97%</w:t>
            </w:r>
          </w:p>
        </w:tc>
      </w:tr>
    </w:tbl>
    <w:p>
      <w:pPr>
        <w:pStyle w:val="Heading1"/>
      </w:pPr>
      <w:r>
        <w:t>2、Histgram 分布图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 close rr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FFDE00"/>
      <w:sz w:val="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