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3DB1D" w14:textId="3045AE4A" w:rsidR="00853158" w:rsidRDefault="00853158" w:rsidP="005D2C54">
      <w:pPr>
        <w:pStyle w:val="Ttulo"/>
      </w:pPr>
      <w:r>
        <w:t>NOTA TÉCNICA</w:t>
      </w:r>
    </w:p>
    <w:p w14:paraId="7DA9CF4F" w14:textId="1BD28080" w:rsidR="00853158" w:rsidRDefault="00853158" w:rsidP="005D2C54">
      <w:pPr>
        <w:spacing w:line="276" w:lineRule="auto"/>
        <w:ind w:firstLine="0"/>
      </w:pPr>
      <w:r>
        <w:rPr>
          <w:b/>
          <w:bCs/>
        </w:rPr>
        <w:t>Assunto</w:t>
      </w:r>
      <w:r>
        <w:t xml:space="preserve">: Proposta de parceria entre o Observatório de Infraestrutura de Transportes do IBI e a Confederação da Agricultura e Pecuária do Brasil (CNA): "Radar Logístico do Agro", sistema recorrente de monitoramento do escoamento da produção agropecuária.</w:t>
      </w:r>
    </w:p>
    <w:p w14:paraId="7682F97D" w14:textId="33A70A18" w:rsidR="00853158" w:rsidRDefault="00853158" w:rsidP="003879DB">
      <w:pPr>
        <w:pStyle w:val="Ttulo1"/>
      </w:pPr>
      <w:r>
        <w:t>INTRODUÇÃO</w:t>
      </w:r>
    </w:p>
    <w:p w14:paraId="1A000001" w14:textId="77777777">
      <w:pPr>
        <w:spacing w:line="276" w:lineRule="auto"/>
        <w:jc w:val="both"/>
      </w:pPr>
      <w:r>
        <w:t xml:space="preserve">O Instituto Brasileiro de Infraestrutura (IBI), por meio de seu Observatório de Infraestrutura de Transportes, apresenta esta Nota Técnica à CNA com o objetivo de propor uma parceria para o monitoramento recorrente da logística do agronegócio, com antecedência, recorte municipal e método público.</w:t>
      </w:r>
    </w:p>
    <w:p w14:paraId="1A000002" w14:textId="77777777">
      <w:pPr>
        <w:spacing w:line="276" w:lineRule="auto"/>
        <w:jc w:val="both"/>
      </w:pPr>
      <w:r>
        <w:t xml:space="preserve">O debate sobre o escoamento da safra é hoje conduzido, em regra, com números nacionais e anuais, que chegam depois da crise. Produtores, federações e parlamentares não dispõem de informação antecipada, na escala do município, sobre onde o escoamento tende a travar, quanto isso custa e qual obra ou medida deveria ser priorizada. A proposta aqui apresentada busca suprir essa lacuna.</w:t>
      </w:r>
    </w:p>
    <w:p w14:paraId="1A000003" w14:textId="77777777">
      <w:pPr>
        <w:pStyle w:val="Ttulo1"/>
      </w:pPr>
      <w:r>
        <w:t xml:space="preserve">PRODUTOS PROPOSTOS</w:t>
      </w:r>
    </w:p>
    <w:p w14:paraId="1A000004" w14:textId="77777777">
      <w:pPr>
        <w:spacing w:line="276" w:lineRule="auto"/>
        <w:jc w:val="both"/>
      </w:pPr>
      <w:r>
        <w:t xml:space="preserve">O sistema compreende três produtos. O Observatório produz a evidência; a CNA e as federações levam os resultados aos produtores e às bancadas.</w:t>
      </w:r>
    </w:p>
    <w:p w14:paraId="1A000005" w14:textId="77777777">
      <w:pPr>
        <w:spacing w:line="276" w:lineRule="auto"/>
        <w:ind w:left="360" w:firstLine="0"/>
        <w:jc w:val="both"/>
      </w:pPr>
      <w:r>
        <w:rPr>
          <w:b/>
          <w:bCs/>
        </w:rPr>
        <w:t xml:space="preserve">• Radar do Escoamento: </w:t>
      </w:r>
      <w:r>
        <w:t xml:space="preserve">edição mensal que indica para onde a safra está sendo transportada e quanto deve ser exportado pelos portos do Arco Norte cerca de um mês antes da estatística oficial, a partir dos registros de frete que a ANTT publica todo mês (CIOT); e boletim semanal curto, que acompanha diesel, fila de navios nos portos, nível dos rios e andamento da colheita.</w:t>
      </w:r>
    </w:p>
    <w:p w14:paraId="1A000006" w14:textId="77777777">
      <w:pPr>
        <w:spacing w:line="276" w:lineRule="auto"/>
        <w:ind w:left="360" w:firstLine="0"/>
        <w:jc w:val="both"/>
      </w:pPr>
      <w:r>
        <w:rPr>
          <w:b/>
          <w:bCs/>
        </w:rPr>
        <w:t xml:space="preserve">• Ficha Logística do Município: </w:t>
      </w:r>
      <w:r>
        <w:t xml:space="preserve">uma página por município produtor, com a relação entre capacidade de armazenagem e safra, as rotas de saída da produção e a dependência de cada corredor logístico. Os 500 maiores municípios produtores concentram cerca de 80% da produção de soja e milho. Destina-se às federações, sindicatos, prefeitos e parlamentares.</w:t>
      </w:r>
    </w:p>
    <w:p w14:paraId="1A000007" w14:textId="77777777">
      <w:pPr>
        <w:spacing w:line="276" w:lineRule="auto"/>
        <w:ind w:left="360" w:firstLine="0"/>
        <w:jc w:val="both"/>
      </w:pPr>
      <w:r>
        <w:rPr>
          <w:b/>
          <w:bCs/>
        </w:rPr>
        <w:t xml:space="preserve">• Carteira de Prioridades: </w:t>
      </w:r>
      <w:r>
        <w:t xml:space="preserve">ranking anual de obras, de necessidades de armazenagem e de medidas regulatórias, com critérios públicos fixados antes da apuração dos resultados (pré-registro), alinhado ao calendário orçamentário.</w:t>
      </w:r>
    </w:p>
    <w:p w14:paraId="1A000008" w14:textId="77777777">
      <w:pPr>
        <w:pStyle w:val="Ttulo1"/>
      </w:pPr>
      <w:r>
        <w:t xml:space="preserve">EVIDÊNCIAS PRELIMINARES</w:t>
      </w:r>
    </w:p>
    <w:p w14:paraId="1A000009" w14:textId="77777777">
      <w:pPr>
        <w:spacing w:line="276" w:lineRule="auto"/>
        <w:jc w:val="both"/>
      </w:pPr>
      <w:r>
        <w:t xml:space="preserve">Os testes realizados pelo Observatório com dados públicos, de caráter interno e preliminar, indicam:</w:t>
      </w:r>
    </w:p>
    <w:p w14:paraId="1A00000A" w14:textId="77777777">
      <w:pPr>
        <w:spacing w:line="276" w:lineRule="auto"/>
        <w:ind w:left="360" w:firstLine="0"/>
        <w:jc w:val="both"/>
      </w:pPr>
      <w:r>
        <w:rPr>
          <w:b/>
          <w:bCs/>
        </w:rPr>
        <w:t xml:space="preserve">• Antecipação: </w:t>
      </w:r>
      <w:r>
        <w:t xml:space="preserve">o indicador baseado nos registros de frete previu a exportação de soja e milho pelos portos de Santarém e Belém, a partir dos fretes com destino a Miritituba, com erro 28% menor que o modelo de referência, em teste fora da amostra no período de fevereiro de 2023 a setembro de 2026.</w:t>
      </w:r>
    </w:p>
    <w:p w14:paraId="1A00000B" w14:textId="77777777">
      <w:pPr>
        <w:spacing w:line="276" w:lineRule="auto"/>
        <w:ind w:left="360" w:firstLine="0"/>
        <w:jc w:val="both"/>
      </w:pPr>
      <w:r>
        <w:rPr>
          <w:b/>
          <w:bCs/>
        </w:rPr>
        <w:t xml:space="preserve">• Armazenagem: </w:t>
      </w:r>
      <w:r>
        <w:t xml:space="preserve">o déficit de capacidade estática somado microrregião por microrregião alcança 88 milhões de toneladas, acima do saldo nacional de 52 milhões, porque a capacidade excedente no Rio Grande do Sul, em Santa Catarina e em São Paulo não atende o Centro-Norte. Doze microrregiões concentram 28,7 milhões de toneladas de déficit.</w:t>
      </w:r>
    </w:p>
    <w:p w14:paraId="1A00000C" w14:textId="77777777">
      <w:pPr>
        <w:spacing w:line="276" w:lineRule="auto"/>
        <w:ind w:left="360" w:firstLine="0"/>
        <w:jc w:val="both"/>
      </w:pPr>
      <w:r>
        <w:rPr>
          <w:b/>
          <w:bCs/>
        </w:rPr>
        <w:t xml:space="preserve">• Arco Norte: </w:t>
      </w:r>
      <w:r>
        <w:t xml:space="preserve">a participação dos portos do Norte na exportação de soja e milho de Mato Grosso estabilizou-se em cerca de 45% desde 2020, mesmo com o aumento da vantagem de custo de frete, o que indica restrição de capacidade, e não de preço.</w:t>
      </w:r>
    </w:p>
    <w:p w14:paraId="1A00000D" w14:textId="77777777">
      <w:pPr>
        <w:spacing w:line="276" w:lineRule="auto"/>
        <w:ind w:left="360" w:firstLine="0"/>
        <w:jc w:val="both"/>
      </w:pPr>
      <w:r>
        <w:rPr>
          <w:b/>
          <w:bCs/>
        </w:rPr>
        <w:t xml:space="preserve">• Medida de baixo custo: </w:t>
      </w:r>
      <w:r>
        <w:t xml:space="preserve">desde 24/05/2026, a ANTT registra o valor do frete de praticamente todo o transporte rodoviário remunerado. A publicação agregada desse dado dependeria apenas de ato da Agência, a exemplo do que a ANAC faz com as tarifas aéreas desde 2002.</w:t>
      </w:r>
    </w:p>
    <w:p w14:paraId="1A00000E" w14:textId="77777777">
      <w:pPr>
        <w:pStyle w:val="Ttulo1"/>
      </w:pPr>
      <w:r>
        <w:t xml:space="preserve">DIVISÃO DE PAPÉIS E SALVAGUARDAS</w:t>
      </w:r>
    </w:p>
    <w:p w14:paraId="1A00000F" w14:textId="77777777">
      <w:pPr>
        <w:spacing w:line="276" w:lineRule="auto"/>
        <w:jc w:val="both"/>
      </w:pPr>
      <w:r>
        <w:t xml:space="preserve">Ao IBI caberiam os dados, os modelos, a metodologia pública e pré-registrada, a produção dos boletins, fichas e Carteira, e a interlocução com a Frente Parlamentar de Portos e Aeroportos (FPPA) e o Executivo. À CNA caberiam a rede das 27 federações e do Senar, para distribuição das fichas e sondagens com produtores, os dados próprios de custos de frete e armazenagem (Campo Futuro), a interlocução com a FPA e as bancadas estaduais, e a coassinatura e divulgação dos produtos.</w:t>
      </w:r>
    </w:p>
    <w:p w14:paraId="1A000010" w14:textId="77777777">
      <w:pPr>
        <w:spacing w:line="276" w:lineRule="auto"/>
        <w:jc w:val="both"/>
      </w:pPr>
      <w:r>
        <w:t xml:space="preserve">A parceria observaria neutralidade técnica: a Carteira não recomenda modelo de contratação nem obra fora da regra estabelecida; lacunas de dados são tratadas como oportunidade de melhoria, nunca como crítica a órgãos públicos; dados oficiais, estimativas do IBI e dados da CNA são sempre identificados separadamente. Frete marítimo e agentes de navegação ficam fora do escopo.</w:t>
      </w:r>
    </w:p>
    <w:p w14:paraId="1A000011" w14:textId="77777777">
      <w:pPr>
        <w:pStyle w:val="Ttulo1"/>
      </w:pPr>
      <w:r>
        <w:t xml:space="preserve">COMO CONTRATAR</w:t>
      </w:r>
    </w:p>
    <w:p w14:paraId="1A000012" w14:textId="77777777">
      <w:pPr>
        <w:spacing w:line="276" w:lineRule="auto"/>
        <w:ind w:left="360" w:firstLine="0"/>
        <w:jc w:val="both"/>
      </w:pPr>
      <w:r>
        <w:rPr>
          <w:b/>
          <w:bCs/>
        </w:rPr>
        <w:t xml:space="preserve">(1) </w:t>
      </w:r>
      <w:r>
        <w:t xml:space="preserve">Ficha Logística por estado, como entrada: fichas de todos os municípios produtores do estado, entregues em cerca de 30 dias e contratadas pela federação, com a CNA como canal e co-assinatura;</w:t>
      </w:r>
    </w:p>
    <w:p w14:paraId="1A000013" w14:textId="77777777">
      <w:pPr>
        <w:spacing w:line="276" w:lineRule="auto"/>
        <w:ind w:left="360" w:firstLine="0"/>
        <w:jc w:val="both"/>
      </w:pPr>
      <w:r>
        <w:rPr>
          <w:b/>
          <w:bCs/>
        </w:rPr>
        <w:t xml:space="preserve">(2) </w:t>
      </w:r>
      <w:r>
        <w:t xml:space="preserve">assinatura do Radar do Escoamento por 12 meses: edição mensal, boletim semanal e painel no portal da CNA;</w:t>
      </w:r>
    </w:p>
    <w:p w14:paraId="1A000014" w14:textId="77777777">
      <w:pPr>
        <w:spacing w:line="276" w:lineRule="auto"/>
        <w:ind w:left="360" w:firstLine="0"/>
        <w:jc w:val="both"/>
      </w:pPr>
      <w:r>
        <w:rPr>
          <w:b/>
          <w:bCs/>
        </w:rPr>
        <w:t xml:space="preserve">(3) </w:t>
      </w:r>
      <w:r>
        <w:t xml:space="preserve">Carteira de Prioridades, contratada na sequência, quando o método estiver validado.</w:t>
      </w:r>
    </w:p>
    <w:p w14:paraId="65D37E42" w14:textId="17B5DC22" w:rsidR="00853158" w:rsidRDefault="00CD1B38" w:rsidP="003879DB">
      <w:pPr>
        <w:pStyle w:val="Ttulo1"/>
      </w:pPr>
      <w:r>
        <w:t>CONCLUSÃO</w:t>
      </w:r>
    </w:p>
    <w:p w14:paraId="1A000016" w14:textId="77777777">
      <w:pPr>
        <w:spacing w:line="276" w:lineRule="auto"/>
        <w:jc w:val="both"/>
      </w:pPr>
      <w:r>
        <w:t xml:space="preserve">O IBI recomenda iniciar a parceria pela Ficha Logística de um ou mais estados, contratada com as federações, seguida da assinatura do Radar Logístico do Agro pela CNA. Os valores e o formato de contratação deverão ser definidos entre as partes.</w:t>
      </w:r>
    </w:p>
    <w:p w14:paraId="70DBAB2B" w14:textId="5E7FE297" w:rsidR="00660E7F" w:rsidRDefault="005D2C54" w:rsidP="003879DB">
      <w:r>
        <w:t>Respeitosamente,</w:t>
      </w:r>
    </w:p>
    <w:p w14:paraId="32A40227" w14:textId="08C2D073" w:rsidR="00626DA6" w:rsidRDefault="00876F59" w:rsidP="001533E7">
      <w:pPr>
        <w:spacing w:line="240" w:lineRule="auto"/>
        <w:ind w:firstLine="0"/>
        <w:jc w:val="center"/>
      </w:pPr>
      <w:r>
        <w:t>Bruno Pinheiro</w:t>
      </w:r>
    </w:p>
    <w:p w14:paraId="6853610E" w14:textId="1D3FB669" w:rsidR="00F81089" w:rsidRDefault="00876F59" w:rsidP="001533E7">
      <w:pPr>
        <w:spacing w:line="240" w:lineRule="auto"/>
        <w:ind w:firstLine="142"/>
        <w:jc w:val="center"/>
      </w:pPr>
      <w:r>
        <w:t>Observatório de Infraestrutura de Transportes — IBI</w:t>
      </w:r>
    </w:p>
    <w:sectPr w:rsidR="00F81089" w:rsidRPr="00853158" w:rsidSect="00E66F24">
      <w:headerReference w:type="default" r:id="rId8"/>
      <w:pgSz w:w="12240" w:h="15840"/>
      <w:pgMar w:top="2127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8270D6" w14:textId="77777777" w:rsidR="00CA5A6B" w:rsidRDefault="00CA5A6B" w:rsidP="003879DB">
      <w:r>
        <w:separator/>
      </w:r>
    </w:p>
  </w:endnote>
  <w:endnote w:type="continuationSeparator" w:id="0">
    <w:p w14:paraId="5C5B723F" w14:textId="77777777" w:rsidR="00CA5A6B" w:rsidRDefault="00CA5A6B" w:rsidP="003879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080D1" w14:textId="77777777" w:rsidR="00CA5A6B" w:rsidRDefault="00CA5A6B" w:rsidP="003879DB">
      <w:r>
        <w:separator/>
      </w:r>
    </w:p>
  </w:footnote>
  <w:footnote w:type="continuationSeparator" w:id="0">
    <w:p w14:paraId="0C649A5F" w14:textId="77777777" w:rsidR="00CA5A6B" w:rsidRDefault="00CA5A6B" w:rsidP="003879DB">
      <w:r>
        <w:continuationSeparator/>
      </w:r>
    </w:p>
  </w:footnote>
  <w:footnote w:id="1">
    <w:p w14:paraId="1DBD374D" w14:textId="2205C738" w:rsidR="00747861" w:rsidRDefault="00747861">
      <w:pPr>
        <w:pStyle w:val="Textodenotaderodap"/>
      </w:pPr>
      <w:r>
        <w:rPr>
          <w:rStyle w:val="Refdenotaderodap"/>
        </w:rPr>
        <w:footnoteRef/>
      </w:r>
      <w:r>
        <w:t xml:space="preserve"> A ser ratificada em um segundo momento.</w:t>
      </w:r>
    </w:p>
  </w:footnote>
  <w:footnote w:id="2">
    <w:p w14:paraId="19329125" w14:textId="4EC769DF" w:rsidR="00ED49DE" w:rsidRPr="00747861" w:rsidRDefault="00ED49DE" w:rsidP="001C3DED">
      <w:pPr>
        <w:pStyle w:val="Textodenotaderodap"/>
        <w:ind w:firstLine="0"/>
      </w:pPr>
      <w:r>
        <w:rPr>
          <w:rStyle w:val="Refdenotaderodap"/>
        </w:rPr>
        <w:footnoteRef/>
      </w:r>
      <w:r>
        <w:t xml:space="preserve"> </w:t>
      </w:r>
      <w:r w:rsidR="001C3DED">
        <w:t>Valor em 31/10/2025 de US$1,42.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FD60E" w14:textId="6CA612E7" w:rsidR="004877B5" w:rsidRDefault="005B7D31" w:rsidP="003879DB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A300880" wp14:editId="54E120DA">
          <wp:simplePos x="0" y="0"/>
          <wp:positionH relativeFrom="column">
            <wp:posOffset>-906780</wp:posOffset>
          </wp:positionH>
          <wp:positionV relativeFrom="paragraph">
            <wp:posOffset>-426720</wp:posOffset>
          </wp:positionV>
          <wp:extent cx="7741920" cy="10027920"/>
          <wp:effectExtent l="0" t="0" r="0" b="0"/>
          <wp:wrapNone/>
          <wp:docPr id="622170350" name="Imagem 1" descr="Uma imagem contendo Forma  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2170350" name="Imagem 1" descr="Uma imagem contendo Forma  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1920" cy="100279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89599B3" w14:textId="77777777" w:rsidR="004877B5" w:rsidRDefault="004877B5" w:rsidP="003879D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0192B"/>
    <w:multiLevelType w:val="multilevel"/>
    <w:tmpl w:val="75023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26867"/>
    <w:multiLevelType w:val="multilevel"/>
    <w:tmpl w:val="21725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9250D"/>
    <w:multiLevelType w:val="multilevel"/>
    <w:tmpl w:val="50F06BA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61204E"/>
    <w:multiLevelType w:val="multilevel"/>
    <w:tmpl w:val="EDCC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637B5"/>
    <w:multiLevelType w:val="multilevel"/>
    <w:tmpl w:val="9E1E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9C308D"/>
    <w:multiLevelType w:val="multilevel"/>
    <w:tmpl w:val="9B2C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DE17D5"/>
    <w:multiLevelType w:val="multilevel"/>
    <w:tmpl w:val="D5F6CA2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071116"/>
    <w:multiLevelType w:val="multilevel"/>
    <w:tmpl w:val="39F4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883E10"/>
    <w:multiLevelType w:val="multilevel"/>
    <w:tmpl w:val="422E36F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901EE7"/>
    <w:multiLevelType w:val="multilevel"/>
    <w:tmpl w:val="CE423F04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2C4A56D6"/>
    <w:multiLevelType w:val="multilevel"/>
    <w:tmpl w:val="45D4544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C16F26"/>
    <w:multiLevelType w:val="multilevel"/>
    <w:tmpl w:val="B5C4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4937AB"/>
    <w:multiLevelType w:val="multilevel"/>
    <w:tmpl w:val="D7D6ED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803239"/>
    <w:multiLevelType w:val="multilevel"/>
    <w:tmpl w:val="CBC274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C7161E"/>
    <w:multiLevelType w:val="hybridMultilevel"/>
    <w:tmpl w:val="83409728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5" w15:restartNumberingAfterBreak="0">
    <w:nsid w:val="48372EF6"/>
    <w:multiLevelType w:val="multilevel"/>
    <w:tmpl w:val="A1F247F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6A5B99"/>
    <w:multiLevelType w:val="hybridMultilevel"/>
    <w:tmpl w:val="852456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C10359E"/>
    <w:multiLevelType w:val="multilevel"/>
    <w:tmpl w:val="4EEC4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6E6AD9"/>
    <w:multiLevelType w:val="multilevel"/>
    <w:tmpl w:val="C1E63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C94BB3"/>
    <w:multiLevelType w:val="multilevel"/>
    <w:tmpl w:val="C89EEC8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FA6728"/>
    <w:multiLevelType w:val="multilevel"/>
    <w:tmpl w:val="5D609D6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79F43C7"/>
    <w:multiLevelType w:val="multilevel"/>
    <w:tmpl w:val="DC60F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0F74D6"/>
    <w:multiLevelType w:val="multilevel"/>
    <w:tmpl w:val="02D0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F83BFB"/>
    <w:multiLevelType w:val="multilevel"/>
    <w:tmpl w:val="8E32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7A0AFD"/>
    <w:multiLevelType w:val="multilevel"/>
    <w:tmpl w:val="7AFA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924939"/>
    <w:multiLevelType w:val="multilevel"/>
    <w:tmpl w:val="CCF4309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C9301C"/>
    <w:multiLevelType w:val="hybridMultilevel"/>
    <w:tmpl w:val="B6A692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617639"/>
    <w:multiLevelType w:val="multilevel"/>
    <w:tmpl w:val="96826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5437A9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9" w15:restartNumberingAfterBreak="0">
    <w:nsid w:val="71256F4D"/>
    <w:multiLevelType w:val="multilevel"/>
    <w:tmpl w:val="449C7A7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1EF3808"/>
    <w:multiLevelType w:val="multilevel"/>
    <w:tmpl w:val="7D62A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D166F8"/>
    <w:multiLevelType w:val="multilevel"/>
    <w:tmpl w:val="20A6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25100F"/>
    <w:multiLevelType w:val="multilevel"/>
    <w:tmpl w:val="8CAA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1B2DCF"/>
    <w:multiLevelType w:val="multilevel"/>
    <w:tmpl w:val="45DA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1342054">
    <w:abstractNumId w:val="28"/>
  </w:num>
  <w:num w:numId="2" w16cid:durableId="1032536186">
    <w:abstractNumId w:val="33"/>
  </w:num>
  <w:num w:numId="3" w16cid:durableId="552887931">
    <w:abstractNumId w:val="13"/>
  </w:num>
  <w:num w:numId="4" w16cid:durableId="1212116914">
    <w:abstractNumId w:val="18"/>
  </w:num>
  <w:num w:numId="5" w16cid:durableId="1919752650">
    <w:abstractNumId w:val="12"/>
  </w:num>
  <w:num w:numId="6" w16cid:durableId="1936282158">
    <w:abstractNumId w:val="7"/>
  </w:num>
  <w:num w:numId="7" w16cid:durableId="656499683">
    <w:abstractNumId w:val="25"/>
  </w:num>
  <w:num w:numId="8" w16cid:durableId="105971966">
    <w:abstractNumId w:val="21"/>
  </w:num>
  <w:num w:numId="9" w16cid:durableId="2096513887">
    <w:abstractNumId w:val="19"/>
  </w:num>
  <w:num w:numId="10" w16cid:durableId="647515138">
    <w:abstractNumId w:val="17"/>
  </w:num>
  <w:num w:numId="11" w16cid:durableId="1883788095">
    <w:abstractNumId w:val="6"/>
  </w:num>
  <w:num w:numId="12" w16cid:durableId="734090678">
    <w:abstractNumId w:val="30"/>
  </w:num>
  <w:num w:numId="13" w16cid:durableId="158691284">
    <w:abstractNumId w:val="29"/>
  </w:num>
  <w:num w:numId="14" w16cid:durableId="1911230379">
    <w:abstractNumId w:val="22"/>
  </w:num>
  <w:num w:numId="15" w16cid:durableId="1744139380">
    <w:abstractNumId w:val="20"/>
  </w:num>
  <w:num w:numId="16" w16cid:durableId="1173106380">
    <w:abstractNumId w:val="23"/>
  </w:num>
  <w:num w:numId="17" w16cid:durableId="559830903">
    <w:abstractNumId w:val="2"/>
  </w:num>
  <w:num w:numId="18" w16cid:durableId="844982146">
    <w:abstractNumId w:val="11"/>
  </w:num>
  <w:num w:numId="19" w16cid:durableId="885916094">
    <w:abstractNumId w:val="10"/>
  </w:num>
  <w:num w:numId="20" w16cid:durableId="468865688">
    <w:abstractNumId w:val="32"/>
  </w:num>
  <w:num w:numId="21" w16cid:durableId="691957659">
    <w:abstractNumId w:val="15"/>
  </w:num>
  <w:num w:numId="22" w16cid:durableId="402215588">
    <w:abstractNumId w:val="24"/>
  </w:num>
  <w:num w:numId="23" w16cid:durableId="2059546553">
    <w:abstractNumId w:val="8"/>
  </w:num>
  <w:num w:numId="24" w16cid:durableId="939410376">
    <w:abstractNumId w:val="3"/>
  </w:num>
  <w:num w:numId="25" w16cid:durableId="1022510874">
    <w:abstractNumId w:val="1"/>
  </w:num>
  <w:num w:numId="26" w16cid:durableId="1378236675">
    <w:abstractNumId w:val="31"/>
  </w:num>
  <w:num w:numId="27" w16cid:durableId="1300040247">
    <w:abstractNumId w:val="27"/>
  </w:num>
  <w:num w:numId="28" w16cid:durableId="901136248">
    <w:abstractNumId w:val="0"/>
  </w:num>
  <w:num w:numId="29" w16cid:durableId="1097480674">
    <w:abstractNumId w:val="4"/>
  </w:num>
  <w:num w:numId="30" w16cid:durableId="196047646">
    <w:abstractNumId w:val="9"/>
  </w:num>
  <w:num w:numId="31" w16cid:durableId="659504631">
    <w:abstractNumId w:val="26"/>
  </w:num>
  <w:num w:numId="32" w16cid:durableId="2085493205">
    <w:abstractNumId w:val="16"/>
  </w:num>
  <w:num w:numId="33" w16cid:durableId="1448424571">
    <w:abstractNumId w:val="9"/>
  </w:num>
  <w:num w:numId="34" w16cid:durableId="1655910879">
    <w:abstractNumId w:val="9"/>
  </w:num>
  <w:num w:numId="35" w16cid:durableId="1463305735">
    <w:abstractNumId w:val="14"/>
  </w:num>
  <w:num w:numId="36" w16cid:durableId="16745245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158"/>
    <w:rsid w:val="00033693"/>
    <w:rsid w:val="00076E2A"/>
    <w:rsid w:val="00084583"/>
    <w:rsid w:val="000A7C05"/>
    <w:rsid w:val="000C0470"/>
    <w:rsid w:val="0010760D"/>
    <w:rsid w:val="00127FD5"/>
    <w:rsid w:val="001303EC"/>
    <w:rsid w:val="00150CBF"/>
    <w:rsid w:val="00153335"/>
    <w:rsid w:val="001533E7"/>
    <w:rsid w:val="001B5869"/>
    <w:rsid w:val="001C3DED"/>
    <w:rsid w:val="001F594D"/>
    <w:rsid w:val="00224958"/>
    <w:rsid w:val="002726C7"/>
    <w:rsid w:val="00275264"/>
    <w:rsid w:val="002A5DDD"/>
    <w:rsid w:val="002C4605"/>
    <w:rsid w:val="002F2E0C"/>
    <w:rsid w:val="003154F8"/>
    <w:rsid w:val="003170D8"/>
    <w:rsid w:val="00321430"/>
    <w:rsid w:val="00327449"/>
    <w:rsid w:val="00333F44"/>
    <w:rsid w:val="003879DB"/>
    <w:rsid w:val="003C70C7"/>
    <w:rsid w:val="004013E2"/>
    <w:rsid w:val="00413ED0"/>
    <w:rsid w:val="00417AFF"/>
    <w:rsid w:val="0044329E"/>
    <w:rsid w:val="00456994"/>
    <w:rsid w:val="00465D2C"/>
    <w:rsid w:val="004877B5"/>
    <w:rsid w:val="004B40A5"/>
    <w:rsid w:val="004C52EA"/>
    <w:rsid w:val="004E2F2B"/>
    <w:rsid w:val="004F7501"/>
    <w:rsid w:val="0050192B"/>
    <w:rsid w:val="005201BA"/>
    <w:rsid w:val="005221AE"/>
    <w:rsid w:val="00546A38"/>
    <w:rsid w:val="005A4099"/>
    <w:rsid w:val="005B1262"/>
    <w:rsid w:val="005B7D31"/>
    <w:rsid w:val="005D2C54"/>
    <w:rsid w:val="005E44DD"/>
    <w:rsid w:val="005E74F1"/>
    <w:rsid w:val="005F6B5D"/>
    <w:rsid w:val="006001F1"/>
    <w:rsid w:val="00601175"/>
    <w:rsid w:val="00602560"/>
    <w:rsid w:val="00626DA6"/>
    <w:rsid w:val="00660E7F"/>
    <w:rsid w:val="0067520A"/>
    <w:rsid w:val="006758F5"/>
    <w:rsid w:val="00676109"/>
    <w:rsid w:val="006A0F5D"/>
    <w:rsid w:val="006B3023"/>
    <w:rsid w:val="006C7D40"/>
    <w:rsid w:val="006F254A"/>
    <w:rsid w:val="006F716E"/>
    <w:rsid w:val="0070711B"/>
    <w:rsid w:val="00710483"/>
    <w:rsid w:val="007153E4"/>
    <w:rsid w:val="00747861"/>
    <w:rsid w:val="007B0856"/>
    <w:rsid w:val="007F4B5F"/>
    <w:rsid w:val="008412D7"/>
    <w:rsid w:val="00853158"/>
    <w:rsid w:val="00853D28"/>
    <w:rsid w:val="00876F59"/>
    <w:rsid w:val="008C75A8"/>
    <w:rsid w:val="008E3950"/>
    <w:rsid w:val="00910163"/>
    <w:rsid w:val="00911D37"/>
    <w:rsid w:val="00925CC9"/>
    <w:rsid w:val="00937402"/>
    <w:rsid w:val="00940839"/>
    <w:rsid w:val="00971D6A"/>
    <w:rsid w:val="00983C12"/>
    <w:rsid w:val="0098666D"/>
    <w:rsid w:val="009B476E"/>
    <w:rsid w:val="009B7C27"/>
    <w:rsid w:val="009D306A"/>
    <w:rsid w:val="009E5B87"/>
    <w:rsid w:val="00A028F6"/>
    <w:rsid w:val="00A227F3"/>
    <w:rsid w:val="00A46CD1"/>
    <w:rsid w:val="00A77AE6"/>
    <w:rsid w:val="00AC0A30"/>
    <w:rsid w:val="00BB3B50"/>
    <w:rsid w:val="00BB4B9D"/>
    <w:rsid w:val="00BB646C"/>
    <w:rsid w:val="00BD1F6E"/>
    <w:rsid w:val="00BD55A2"/>
    <w:rsid w:val="00C432C4"/>
    <w:rsid w:val="00C5741C"/>
    <w:rsid w:val="00C77467"/>
    <w:rsid w:val="00C965CC"/>
    <w:rsid w:val="00C978F1"/>
    <w:rsid w:val="00CA5A6B"/>
    <w:rsid w:val="00CB4B08"/>
    <w:rsid w:val="00CD1B38"/>
    <w:rsid w:val="00CD786F"/>
    <w:rsid w:val="00CF37A4"/>
    <w:rsid w:val="00D330EE"/>
    <w:rsid w:val="00D35BBD"/>
    <w:rsid w:val="00D84EDC"/>
    <w:rsid w:val="00D93B14"/>
    <w:rsid w:val="00DA30E6"/>
    <w:rsid w:val="00DD088D"/>
    <w:rsid w:val="00DD31D5"/>
    <w:rsid w:val="00DF337D"/>
    <w:rsid w:val="00E2768B"/>
    <w:rsid w:val="00E33C18"/>
    <w:rsid w:val="00E66F24"/>
    <w:rsid w:val="00E7205C"/>
    <w:rsid w:val="00E914EA"/>
    <w:rsid w:val="00EB3939"/>
    <w:rsid w:val="00ED49DE"/>
    <w:rsid w:val="00ED7DF1"/>
    <w:rsid w:val="00F12656"/>
    <w:rsid w:val="00F330F3"/>
    <w:rsid w:val="00F81089"/>
    <w:rsid w:val="00FC0C25"/>
    <w:rsid w:val="00FC7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4237D7"/>
  <w15:chartTrackingRefBased/>
  <w15:docId w15:val="{E37E2BD3-931B-4015-BCB7-996DD4D31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79DB"/>
    <w:pPr>
      <w:spacing w:line="480" w:lineRule="auto"/>
      <w:ind w:firstLine="1418"/>
      <w:jc w:val="both"/>
    </w:pPr>
    <w:rPr>
      <w:rFonts w:ascii="Arial" w:hAnsi="Arial" w:cs="Arial"/>
      <w:sz w:val="22"/>
      <w:szCs w:val="22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5A4099"/>
    <w:pPr>
      <w:keepNext/>
      <w:keepLines/>
      <w:numPr>
        <w:numId w:val="30"/>
      </w:numPr>
      <w:spacing w:before="360" w:after="240"/>
      <w:outlineLvl w:val="0"/>
    </w:pPr>
    <w:rPr>
      <w:rFonts w:eastAsiaTheme="majorEastAsia"/>
      <w:b/>
      <w:bCs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D55A2"/>
    <w:pPr>
      <w:keepNext/>
      <w:keepLines/>
      <w:numPr>
        <w:ilvl w:val="1"/>
        <w:numId w:val="30"/>
      </w:numPr>
      <w:spacing w:before="160" w:after="80"/>
      <w:ind w:left="1276"/>
      <w:outlineLvl w:val="1"/>
    </w:pPr>
    <w:rPr>
      <w:rFonts w:eastAsiaTheme="majorEastAsia"/>
      <w:b/>
      <w:bCs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53158"/>
    <w:pPr>
      <w:keepNext/>
      <w:keepLines/>
      <w:numPr>
        <w:ilvl w:val="2"/>
        <w:numId w:val="30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53158"/>
    <w:pPr>
      <w:keepNext/>
      <w:keepLines/>
      <w:numPr>
        <w:ilvl w:val="3"/>
        <w:numId w:val="30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53158"/>
    <w:pPr>
      <w:keepNext/>
      <w:keepLines/>
      <w:numPr>
        <w:ilvl w:val="4"/>
        <w:numId w:val="30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53158"/>
    <w:pPr>
      <w:keepNext/>
      <w:keepLines/>
      <w:numPr>
        <w:ilvl w:val="5"/>
        <w:numId w:val="30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53158"/>
    <w:pPr>
      <w:keepNext/>
      <w:keepLines/>
      <w:numPr>
        <w:ilvl w:val="6"/>
        <w:numId w:val="30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53158"/>
    <w:pPr>
      <w:keepNext/>
      <w:keepLines/>
      <w:numPr>
        <w:ilvl w:val="7"/>
        <w:numId w:val="30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53158"/>
    <w:pPr>
      <w:keepNext/>
      <w:keepLines/>
      <w:numPr>
        <w:ilvl w:val="8"/>
        <w:numId w:val="30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A4099"/>
    <w:rPr>
      <w:rFonts w:ascii="Arial" w:eastAsiaTheme="majorEastAsia" w:hAnsi="Arial" w:cs="Arial"/>
      <w:b/>
      <w:bCs/>
      <w:sz w:val="22"/>
      <w:szCs w:val="22"/>
      <w:lang w:val="pt-BR"/>
    </w:rPr>
  </w:style>
  <w:style w:type="character" w:customStyle="1" w:styleId="Ttulo2Char">
    <w:name w:val="Título 2 Char"/>
    <w:basedOn w:val="Fontepargpadro"/>
    <w:link w:val="Ttulo2"/>
    <w:uiPriority w:val="9"/>
    <w:rsid w:val="00BD55A2"/>
    <w:rPr>
      <w:rFonts w:ascii="Arial" w:eastAsiaTheme="majorEastAsia" w:hAnsi="Arial" w:cs="Arial"/>
      <w:b/>
      <w:bCs/>
      <w:sz w:val="22"/>
      <w:szCs w:val="22"/>
      <w:lang w:val="pt-BR"/>
    </w:rPr>
  </w:style>
  <w:style w:type="character" w:customStyle="1" w:styleId="Ttulo3Char">
    <w:name w:val="Título 3 Char"/>
    <w:basedOn w:val="Fontepargpadro"/>
    <w:link w:val="Ttulo3"/>
    <w:uiPriority w:val="9"/>
    <w:rsid w:val="00853158"/>
    <w:rPr>
      <w:rFonts w:eastAsiaTheme="majorEastAsia" w:cstheme="majorBidi"/>
      <w:color w:val="0F4761" w:themeColor="accent1" w:themeShade="BF"/>
      <w:sz w:val="28"/>
      <w:szCs w:val="28"/>
      <w:lang w:val="pt-BR"/>
    </w:rPr>
  </w:style>
  <w:style w:type="character" w:customStyle="1" w:styleId="Ttulo4Char">
    <w:name w:val="Título 4 Char"/>
    <w:basedOn w:val="Fontepargpadro"/>
    <w:link w:val="Ttulo4"/>
    <w:uiPriority w:val="9"/>
    <w:rsid w:val="00853158"/>
    <w:rPr>
      <w:rFonts w:eastAsiaTheme="majorEastAsia" w:cstheme="majorBidi"/>
      <w:i/>
      <w:iCs/>
      <w:color w:val="0F4761" w:themeColor="accent1" w:themeShade="BF"/>
      <w:lang w:val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53158"/>
    <w:rPr>
      <w:rFonts w:eastAsiaTheme="majorEastAsia" w:cstheme="majorBidi"/>
      <w:color w:val="0F4761" w:themeColor="accent1" w:themeShade="BF"/>
      <w:lang w:val="pt-BR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53158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53158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53158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53158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har"/>
    <w:uiPriority w:val="10"/>
    <w:qFormat/>
    <w:rsid w:val="005D2C54"/>
    <w:pPr>
      <w:ind w:firstLine="0"/>
      <w:jc w:val="center"/>
    </w:pPr>
    <w:rPr>
      <w:b/>
      <w:bCs/>
    </w:rPr>
  </w:style>
  <w:style w:type="character" w:customStyle="1" w:styleId="TtuloChar">
    <w:name w:val="Título Char"/>
    <w:basedOn w:val="Fontepargpadro"/>
    <w:link w:val="Ttulo"/>
    <w:uiPriority w:val="10"/>
    <w:rsid w:val="005D2C54"/>
    <w:rPr>
      <w:rFonts w:ascii="Arial" w:hAnsi="Arial" w:cs="Arial"/>
      <w:b/>
      <w:bCs/>
      <w:sz w:val="22"/>
      <w:szCs w:val="22"/>
      <w:lang w:val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853158"/>
    <w:pPr>
      <w:numPr>
        <w:ilvl w:val="1"/>
      </w:numPr>
      <w:ind w:firstLine="1418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53158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har"/>
    <w:uiPriority w:val="29"/>
    <w:qFormat/>
    <w:rsid w:val="00853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53158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8531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531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531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53158"/>
    <w:rPr>
      <w:i/>
      <w:iCs/>
      <w:color w:val="0F4761" w:themeColor="accent1" w:themeShade="BF"/>
      <w:lang w:val="pt-BR"/>
    </w:rPr>
  </w:style>
  <w:style w:type="character" w:styleId="RefernciaIntensa">
    <w:name w:val="Intense Reference"/>
    <w:basedOn w:val="Fontepargpadro"/>
    <w:uiPriority w:val="32"/>
    <w:qFormat/>
    <w:rsid w:val="008531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877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877B5"/>
    <w:rPr>
      <w:lang w:val="pt-BR"/>
    </w:rPr>
  </w:style>
  <w:style w:type="paragraph" w:styleId="Rodap">
    <w:name w:val="footer"/>
    <w:basedOn w:val="Normal"/>
    <w:link w:val="RodapChar"/>
    <w:uiPriority w:val="99"/>
    <w:unhideWhenUsed/>
    <w:rsid w:val="004877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877B5"/>
    <w:rPr>
      <w:lang w:val="pt-BR"/>
    </w:rPr>
  </w:style>
  <w:style w:type="table" w:styleId="Tabelacomgrade">
    <w:name w:val="Table Grid"/>
    <w:basedOn w:val="Tabelanormal"/>
    <w:uiPriority w:val="39"/>
    <w:rsid w:val="00F810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ED49DE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ED49DE"/>
    <w:rPr>
      <w:rFonts w:ascii="Arial" w:hAnsi="Arial" w:cs="Arial"/>
      <w:sz w:val="20"/>
      <w:szCs w:val="20"/>
      <w:lang w:val="pt-BR"/>
    </w:rPr>
  </w:style>
  <w:style w:type="character" w:styleId="Refdenotaderodap">
    <w:name w:val="footnote reference"/>
    <w:basedOn w:val="Fontepargpadro"/>
    <w:uiPriority w:val="99"/>
    <w:semiHidden/>
    <w:unhideWhenUsed/>
    <w:rsid w:val="00ED49D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A5C936-9DAF-4256-93C9-6677920FDB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8</Pages>
  <Words>1860</Words>
  <Characters>10794</Characters>
  <Application>Microsoft Office Word</Application>
  <DocSecurity>0</DocSecurity>
  <Lines>284</Lines>
  <Paragraphs>127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Pinheiro</dc:creator>
  <cp:keywords/>
  <dc:description/>
  <cp:lastModifiedBy>Bruno Pinheiro</cp:lastModifiedBy>
  <cp:revision>49</cp:revision>
  <cp:lastPrinted>2025-09-09T14:45:00Z</cp:lastPrinted>
  <dcterms:created xsi:type="dcterms:W3CDTF">2025-09-22T20:55:00Z</dcterms:created>
  <dcterms:modified xsi:type="dcterms:W3CDTF">2026-03-04T21:54:00Z</dcterms:modified>
</cp:coreProperties>
</file>