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3DB1D" w14:textId="3045AE4A" w:rsidR="00853158" w:rsidRDefault="00853158" w:rsidP="005D2C54">
      <w:pPr>
        <w:pStyle w:val="Ttulo"/>
      </w:pPr>
      <w:r>
        <w:t>NOTA TÉCNICA</w:t>
      </w:r>
    </w:p>
    <w:p w14:paraId="7DA9CF4F" w14:textId="1BD28080" w:rsidR="00853158" w:rsidRDefault="00853158" w:rsidP="005D2C54">
      <w:pPr>
        <w:spacing w:line="276" w:lineRule="auto"/>
        <w:ind w:firstLine="0"/>
      </w:pPr>
      <w:r>
        <w:rPr>
          <w:b/>
          <w:bCs/>
        </w:rPr>
        <w:t>Assunto</w:t>
      </w:r>
      <w:r>
        <w:t xml:space="preserve">: Proposta de parceria entre o Observatório de Infraestrutura do IBI e a Confederação da Agricultura e Pecuária do Brasil (CNA): "Radar Logístico do Agro", sistema recorrente de monitoramento do escoamento da produção agropecuária.</w:t>
      </w:r>
    </w:p>
    <w:p w14:paraId="7682F97D" w14:textId="33A70A18" w:rsidR="00853158" w:rsidRDefault="00853158" w:rsidP="003879DB">
      <w:pPr>
        <w:pStyle w:val="Ttulo1"/>
      </w:pPr>
      <w:r>
        <w:t>INTRODUÇÃO</w:t>
      </w:r>
    </w:p>
    <w:p w14:paraId="1A000001" w14:textId="77777777">
      <w:pPr>
        <w:spacing w:line="276" w:lineRule="auto"/>
        <w:jc w:val="both"/>
      </w:pPr>
      <w:r>
        <w:t xml:space="preserve">O Instituto Brasileiro de Infraestrutura (IBI), por meio de seu Observatório de Infraestrutura, apresenta esta Nota Técnica à CNA com o objetivo de propor uma parceria para o monitoramento recorrente da logística do agronegócio, com antecedência, recorte municipal e método público.</w:t>
      </w:r>
    </w:p>
    <w:p w14:paraId="1A000002" w14:textId="77777777">
      <w:pPr>
        <w:spacing w:line="276" w:lineRule="auto"/>
        <w:jc w:val="both"/>
      </w:pPr>
      <w:r>
        <w:t xml:space="preserve">O debate sobre o escoamento da safra é hoje conduzido, em regra, com números nacionais e anuais, que chegam depois da crise. Produtores, federações e parlamentares não dispõem de informação antecipada, na escala do município, sobre onde o escoamento tende a travar, quanto isso custa e qual obra ou medida deveria ser priorizada. A proposta aqui apresentada busca suprir essa lacuna.</w:t>
      </w:r>
    </w:p>
    <w:p w14:paraId="1A000003" w14:textId="77777777">
      <w:pPr>
        <w:pStyle w:val="Ttulo1"/>
      </w:pPr>
      <w:r>
        <w:t xml:space="preserve">PRODUTOS PROPOSTOS</w:t>
      </w:r>
    </w:p>
    <w:p w14:paraId="1A000004" w14:textId="77777777">
      <w:pPr>
        <w:spacing w:line="276" w:lineRule="auto"/>
        <w:jc w:val="both"/>
      </w:pPr>
      <w:r>
        <w:t xml:space="preserve">O sistema compreende três produtos. O Observatório produz a evidência; a CNA e as federações levam os resultados aos produtores e às bancadas.</w:t>
      </w:r>
    </w:p>
    <w:p w14:paraId="1A000005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Radar do Escoamento: </w:t>
      </w:r>
      <w:r>
        <w:t xml:space="preserve">boletim semanal curto e edição mensal que indicam para onde a safra está sendo transportada e quanto deve ser exportado pelos portos do Arco Norte cerca de um mês antes da estatística oficial, a partir dos registros de frete da ANTT (CIOT). Semanalmente, acompanha diesel, fila de navios nos portos, nível dos rios e andamento da colheita.</w:t>
      </w:r>
    </w:p>
    <w:p w14:paraId="1A000006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Ficha Logística do Município: </w:t>
      </w:r>
      <w:r>
        <w:t xml:space="preserve">uma página por município produtor, com a relação entre capacidade de armazenagem e safra, as rotas de saída da produção e a dependência de cada corredor logístico. Os 500 maiores municípios produtores concentram cerca de 80% da produção de soja e milho. Destina-se às federações, sindicatos, prefeitos e parlamentares.</w:t>
      </w:r>
    </w:p>
    <w:p w14:paraId="1A000007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Carteira de Prioridades: </w:t>
      </w:r>
      <w:r>
        <w:t xml:space="preserve">ranking anual de obras, de necessidades de armazenagem e de medidas regulatórias, com critérios públicos fixados antes da apuração dos resultados (pré-registro), alinhado ao calendário orçamentário.</w:t>
      </w:r>
    </w:p>
    <w:p w14:paraId="1A000008" w14:textId="77777777">
      <w:pPr>
        <w:pStyle w:val="Ttulo1"/>
      </w:pPr>
      <w:r>
        <w:t xml:space="preserve">EVIDÊNCIAS PRELIMINARES</w:t>
      </w:r>
    </w:p>
    <w:p w14:paraId="1A000009" w14:textId="77777777">
      <w:pPr>
        <w:spacing w:line="276" w:lineRule="auto"/>
        <w:jc w:val="both"/>
      </w:pPr>
      <w:r>
        <w:t xml:space="preserve">Os testes realizados pelo Observatório com dados públicos, de caráter interno e preliminar, indicam:</w:t>
      </w:r>
    </w:p>
    <w:p w14:paraId="1A00000A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Antecipação: </w:t>
      </w:r>
      <w:r>
        <w:t xml:space="preserve">o indicador baseado nos registros de frete previu a exportação de soja e milho pelos portos do Tapajós com erro 28% menor que o modelo de referência, em teste fora da amostra no período 2023–2026.</w:t>
      </w:r>
    </w:p>
    <w:p w14:paraId="1A00000B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Armazenagem: </w:t>
      </w:r>
      <w:r>
        <w:t xml:space="preserve">o déficit de capacidade estática somado microrregião por microrregião alcança 88 milhões de toneladas, acima do saldo nacional de 52 milhões, porque a capacidade excedente no Sul não atende o Centro-Norte. Doze microrregiões concentram 28,7 milhões de toneladas de déficit.</w:t>
      </w:r>
    </w:p>
    <w:p w14:paraId="1A00000C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Arco Norte: </w:t>
      </w:r>
      <w:r>
        <w:t xml:space="preserve">a participação dos portos do Norte na exportação de soja e milho de Mato Grosso estabilizou-se em cerca de 45% desde 2020, mesmo com o aumento da vantagem de custo de frete, o que indica restrição de capacidade, e não de preço.</w:t>
      </w:r>
    </w:p>
    <w:p w14:paraId="1A00000D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• Medida de baixo custo: </w:t>
      </w:r>
      <w:r>
        <w:t xml:space="preserve">desde 24/05/2026, a ANTT registra o valor do frete de praticamente todo o transporte rodoviário remunerado. A publicação agregada desse dado dependeria apenas de ato da Agência, a exemplo do que a ANAC faz com as tarifas aéreas desde 2002.</w:t>
      </w:r>
    </w:p>
    <w:p w14:paraId="1A00000E" w14:textId="77777777">
      <w:pPr>
        <w:pStyle w:val="Ttulo1"/>
      </w:pPr>
      <w:r>
        <w:t xml:space="preserve">DIVISÃO DE PAPÉIS E SALVAGUARDAS</w:t>
      </w:r>
    </w:p>
    <w:p w14:paraId="1A00000F" w14:textId="77777777">
      <w:pPr>
        <w:spacing w:line="276" w:lineRule="auto"/>
        <w:jc w:val="both"/>
      </w:pPr>
      <w:r>
        <w:t xml:space="preserve">Ao IBI caberiam os dados, os modelos, a metodologia pública e pré-registrada, a produção dos boletins, fichas e Carteira, e a interlocução com a Frente Parlamentar de Portos e Aeroportos (FPPA) e o Executivo. À CNA caberiam a rede das 27 federações e do Senar, para distribuição das fichas e sondagens com produtores, os dados próprios de custos de frete e armazenagem (Campo Futuro), a interlocução com a FPA e as bancadas estaduais, e a coassinatura e divulgação dos produtos.</w:t>
      </w:r>
    </w:p>
    <w:p w14:paraId="1A000010" w14:textId="77777777">
      <w:pPr>
        <w:spacing w:line="276" w:lineRule="auto"/>
        <w:jc w:val="both"/>
      </w:pPr>
      <w:r>
        <w:t xml:space="preserve">A parceria observaria neutralidade técnica: a Carteira não recomenda modelo de contratação nem obra fora da regra estabelecida; lacunas de dados são tratadas como oportunidade de melhoria, nunca como crítica a órgãos públicos; dados oficiais, estimativas do IBI e dados da CNA são sempre identificados separadamente. Frete marítimo e agentes de navegação ficam fora do escopo.</w:t>
      </w:r>
    </w:p>
    <w:p w14:paraId="1A000011" w14:textId="77777777">
      <w:pPr>
        <w:pStyle w:val="Ttulo1"/>
      </w:pPr>
      <w:r>
        <w:t xml:space="preserve">PILOTO DE 90 DIAS</w:t>
      </w:r>
    </w:p>
    <w:p w14:paraId="1A000012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(1) </w:t>
      </w:r>
      <w:r>
        <w:t xml:space="preserve">fichas municipais de um estado-piloto, com uma federação parceira;</w:t>
      </w:r>
    </w:p>
    <w:p w14:paraId="1A000013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(2) </w:t>
      </w:r>
      <w:r>
        <w:t xml:space="preserve">primeira edição mensal do Radar, após a adequação do modelo à nova regra de obrigatoriedade do CIOT;</w:t>
      </w:r>
    </w:p>
    <w:p w14:paraId="1A000014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(3) </w:t>
      </w:r>
      <w:r>
        <w:t xml:space="preserve">Carteira de Prioridades com o custo de inação das obras preenchido (hoje apenas 2 das 12 obras avaliadas dispõem de dados suficientes para o ranking);</w:t>
      </w:r>
    </w:p>
    <w:p w14:paraId="1A000015" w14:textId="77777777">
      <w:pPr>
        <w:spacing w:line="276" w:lineRule="auto"/>
        <w:ind w:left="360" w:firstLine="0"/>
        <w:jc w:val="both"/>
      </w:pPr>
      <w:r>
        <w:rPr>
          <w:b/>
          <w:bCs/>
        </w:rPr>
        <w:t xml:space="preserve">(4) </w:t>
      </w:r>
      <w:r>
        <w:t xml:space="preserve">ofício conjunto IBI–CNA à ANTT sobre a publicação agregada do valor do frete.</w:t>
      </w:r>
    </w:p>
    <w:p w14:paraId="65D37E42" w14:textId="17B5DC22" w:rsidR="00853158" w:rsidRDefault="00CD1B38" w:rsidP="003879DB">
      <w:pPr>
        <w:pStyle w:val="Ttulo1"/>
      </w:pPr>
      <w:r>
        <w:t>CONCLUSÃO</w:t>
      </w:r>
    </w:p>
    <w:p w14:paraId="1A000016" w14:textId="77777777">
      <w:pPr>
        <w:spacing w:line="276" w:lineRule="auto"/>
        <w:jc w:val="both"/>
      </w:pPr>
      <w:r>
        <w:t xml:space="preserve">O IBI recomenda a celebração de acordo de cooperação técnica com a CNA para implantar o Radar Logístico do Agro, iniciando pelo piloto de 90 dias descrito nesta Nota Técnica. O modelo de financiamento e a governança da parceria deverão ser definidos entre as partes.</w:t>
      </w:r>
    </w:p>
    <w:p w14:paraId="70DBAB2B" w14:textId="5E7FE297" w:rsidR="00660E7F" w:rsidRDefault="005D2C54" w:rsidP="003879DB">
      <w:r>
        <w:t>Respeitosamente,</w:t>
      </w:r>
    </w:p>
    <w:p w14:paraId="32A40227" w14:textId="08C2D073" w:rsidR="00626DA6" w:rsidRDefault="00876F59" w:rsidP="001533E7">
      <w:pPr>
        <w:spacing w:line="240" w:lineRule="auto"/>
        <w:ind w:firstLine="0"/>
        <w:jc w:val="center"/>
      </w:pPr>
      <w:r>
        <w:t>Bruno Pinheiro</w:t>
      </w:r>
    </w:p>
    <w:p w14:paraId="6853610E" w14:textId="1D3FB669" w:rsidR="00F81089" w:rsidRDefault="00876F59" w:rsidP="001533E7">
      <w:pPr>
        <w:spacing w:line="240" w:lineRule="auto"/>
        <w:ind w:firstLine="142"/>
        <w:jc w:val="center"/>
      </w:pPr>
      <w:r>
        <w:t>Observatório de Infraestrutura — IBI</w:t>
      </w:r>
    </w:p>
    <w:sectPr w:rsidR="00F81089" w:rsidRPr="00853158" w:rsidSect="00E66F24">
      <w:headerReference w:type="default" r:id="rId8"/>
      <w:pgSz w:w="12240" w:h="15840"/>
      <w:pgMar w:top="2127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270D6" w14:textId="77777777" w:rsidR="00CA5A6B" w:rsidRDefault="00CA5A6B" w:rsidP="003879DB">
      <w:r>
        <w:separator/>
      </w:r>
    </w:p>
  </w:endnote>
  <w:endnote w:type="continuationSeparator" w:id="0">
    <w:p w14:paraId="5C5B723F" w14:textId="77777777" w:rsidR="00CA5A6B" w:rsidRDefault="00CA5A6B" w:rsidP="00387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080D1" w14:textId="77777777" w:rsidR="00CA5A6B" w:rsidRDefault="00CA5A6B" w:rsidP="003879DB">
      <w:r>
        <w:separator/>
      </w:r>
    </w:p>
  </w:footnote>
  <w:footnote w:type="continuationSeparator" w:id="0">
    <w:p w14:paraId="0C649A5F" w14:textId="77777777" w:rsidR="00CA5A6B" w:rsidRDefault="00CA5A6B" w:rsidP="003879DB">
      <w:r>
        <w:continuationSeparator/>
      </w:r>
    </w:p>
  </w:footnote>
  <w:footnote w:id="1">
    <w:p w14:paraId="1DBD374D" w14:textId="2205C738" w:rsidR="00747861" w:rsidRDefault="00747861">
      <w:pPr>
        <w:pStyle w:val="Textodenotaderodap"/>
      </w:pPr>
      <w:r>
        <w:rPr>
          <w:rStyle w:val="Refdenotaderodap"/>
        </w:rPr>
        <w:footnoteRef/>
      </w:r>
      <w:r>
        <w:t xml:space="preserve"> A ser ratificada em um segundo momento.</w:t>
      </w:r>
    </w:p>
  </w:footnote>
  <w:footnote w:id="2">
    <w:p w14:paraId="19329125" w14:textId="4EC769DF" w:rsidR="00ED49DE" w:rsidRPr="00747861" w:rsidRDefault="00ED49DE" w:rsidP="001C3DED">
      <w:pPr>
        <w:pStyle w:val="Textodenotaderodap"/>
        <w:ind w:firstLine="0"/>
      </w:pPr>
      <w:r>
        <w:rPr>
          <w:rStyle w:val="Refdenotaderodap"/>
        </w:rPr>
        <w:footnoteRef/>
      </w:r>
      <w:r>
        <w:t xml:space="preserve"> </w:t>
      </w:r>
      <w:r w:rsidR="001C3DED">
        <w:t>Valor em 31/10/2025 de US$1,42.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FD60E" w14:textId="6CA612E7" w:rsidR="004877B5" w:rsidRDefault="005B7D31" w:rsidP="003879DB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A300880" wp14:editId="54E120DA">
          <wp:simplePos x="0" y="0"/>
          <wp:positionH relativeFrom="column">
            <wp:posOffset>-906780</wp:posOffset>
          </wp:positionH>
          <wp:positionV relativeFrom="paragraph">
            <wp:posOffset>-426720</wp:posOffset>
          </wp:positionV>
          <wp:extent cx="7741920" cy="10027920"/>
          <wp:effectExtent l="0" t="0" r="0" b="0"/>
          <wp:wrapNone/>
          <wp:docPr id="622170350" name="Imagem 1" descr="Uma imagem contendo Forma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2170350" name="Imagem 1" descr="Uma imagem contendo Forma  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1920" cy="100279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89599B3" w14:textId="77777777" w:rsidR="004877B5" w:rsidRDefault="004877B5" w:rsidP="003879D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0192B"/>
    <w:multiLevelType w:val="multilevel"/>
    <w:tmpl w:val="7502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26867"/>
    <w:multiLevelType w:val="multilevel"/>
    <w:tmpl w:val="217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9250D"/>
    <w:multiLevelType w:val="multilevel"/>
    <w:tmpl w:val="50F06BA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61204E"/>
    <w:multiLevelType w:val="multilevel"/>
    <w:tmpl w:val="EDCC5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637B5"/>
    <w:multiLevelType w:val="multilevel"/>
    <w:tmpl w:val="9E1E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C308D"/>
    <w:multiLevelType w:val="multilevel"/>
    <w:tmpl w:val="9B2C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E17D5"/>
    <w:multiLevelType w:val="multilevel"/>
    <w:tmpl w:val="D5F6CA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071116"/>
    <w:multiLevelType w:val="multilevel"/>
    <w:tmpl w:val="39F4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3E10"/>
    <w:multiLevelType w:val="multilevel"/>
    <w:tmpl w:val="422E36F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901EE7"/>
    <w:multiLevelType w:val="multilevel"/>
    <w:tmpl w:val="CE423F04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C4A56D6"/>
    <w:multiLevelType w:val="multilevel"/>
    <w:tmpl w:val="45D4544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C16F26"/>
    <w:multiLevelType w:val="multilevel"/>
    <w:tmpl w:val="B5C4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4937AB"/>
    <w:multiLevelType w:val="multilevel"/>
    <w:tmpl w:val="D7D6ED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803239"/>
    <w:multiLevelType w:val="multilevel"/>
    <w:tmpl w:val="CBC274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C7161E"/>
    <w:multiLevelType w:val="hybridMultilevel"/>
    <w:tmpl w:val="8340972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48372EF6"/>
    <w:multiLevelType w:val="multilevel"/>
    <w:tmpl w:val="A1F247F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6A5B99"/>
    <w:multiLevelType w:val="hybridMultilevel"/>
    <w:tmpl w:val="852456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C10359E"/>
    <w:multiLevelType w:val="multilevel"/>
    <w:tmpl w:val="4EEC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6E6AD9"/>
    <w:multiLevelType w:val="multilevel"/>
    <w:tmpl w:val="C1E6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C94BB3"/>
    <w:multiLevelType w:val="multilevel"/>
    <w:tmpl w:val="C89EEC8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FA6728"/>
    <w:multiLevelType w:val="multilevel"/>
    <w:tmpl w:val="5D609D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9F43C7"/>
    <w:multiLevelType w:val="multilevel"/>
    <w:tmpl w:val="DC60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0F74D6"/>
    <w:multiLevelType w:val="multilevel"/>
    <w:tmpl w:val="02D03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F83BFB"/>
    <w:multiLevelType w:val="multilevel"/>
    <w:tmpl w:val="8E32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7A0AFD"/>
    <w:multiLevelType w:val="multilevel"/>
    <w:tmpl w:val="7AFA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924939"/>
    <w:multiLevelType w:val="multilevel"/>
    <w:tmpl w:val="CCF430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C9301C"/>
    <w:multiLevelType w:val="hybridMultilevel"/>
    <w:tmpl w:val="B6A69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617639"/>
    <w:multiLevelType w:val="multilevel"/>
    <w:tmpl w:val="9682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5437A9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71256F4D"/>
    <w:multiLevelType w:val="multilevel"/>
    <w:tmpl w:val="449C7A7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EF3808"/>
    <w:multiLevelType w:val="multilevel"/>
    <w:tmpl w:val="7D62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166F8"/>
    <w:multiLevelType w:val="multilevel"/>
    <w:tmpl w:val="20A6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25100F"/>
    <w:multiLevelType w:val="multilevel"/>
    <w:tmpl w:val="8CA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1B2DCF"/>
    <w:multiLevelType w:val="multilevel"/>
    <w:tmpl w:val="45DA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342054">
    <w:abstractNumId w:val="28"/>
  </w:num>
  <w:num w:numId="2" w16cid:durableId="1032536186">
    <w:abstractNumId w:val="33"/>
  </w:num>
  <w:num w:numId="3" w16cid:durableId="552887931">
    <w:abstractNumId w:val="13"/>
  </w:num>
  <w:num w:numId="4" w16cid:durableId="1212116914">
    <w:abstractNumId w:val="18"/>
  </w:num>
  <w:num w:numId="5" w16cid:durableId="1919752650">
    <w:abstractNumId w:val="12"/>
  </w:num>
  <w:num w:numId="6" w16cid:durableId="1936282158">
    <w:abstractNumId w:val="7"/>
  </w:num>
  <w:num w:numId="7" w16cid:durableId="656499683">
    <w:abstractNumId w:val="25"/>
  </w:num>
  <w:num w:numId="8" w16cid:durableId="105971966">
    <w:abstractNumId w:val="21"/>
  </w:num>
  <w:num w:numId="9" w16cid:durableId="2096513887">
    <w:abstractNumId w:val="19"/>
  </w:num>
  <w:num w:numId="10" w16cid:durableId="647515138">
    <w:abstractNumId w:val="17"/>
  </w:num>
  <w:num w:numId="11" w16cid:durableId="1883788095">
    <w:abstractNumId w:val="6"/>
  </w:num>
  <w:num w:numId="12" w16cid:durableId="734090678">
    <w:abstractNumId w:val="30"/>
  </w:num>
  <w:num w:numId="13" w16cid:durableId="158691284">
    <w:abstractNumId w:val="29"/>
  </w:num>
  <w:num w:numId="14" w16cid:durableId="1911230379">
    <w:abstractNumId w:val="22"/>
  </w:num>
  <w:num w:numId="15" w16cid:durableId="1744139380">
    <w:abstractNumId w:val="20"/>
  </w:num>
  <w:num w:numId="16" w16cid:durableId="1173106380">
    <w:abstractNumId w:val="23"/>
  </w:num>
  <w:num w:numId="17" w16cid:durableId="559830903">
    <w:abstractNumId w:val="2"/>
  </w:num>
  <w:num w:numId="18" w16cid:durableId="844982146">
    <w:abstractNumId w:val="11"/>
  </w:num>
  <w:num w:numId="19" w16cid:durableId="885916094">
    <w:abstractNumId w:val="10"/>
  </w:num>
  <w:num w:numId="20" w16cid:durableId="468865688">
    <w:abstractNumId w:val="32"/>
  </w:num>
  <w:num w:numId="21" w16cid:durableId="691957659">
    <w:abstractNumId w:val="15"/>
  </w:num>
  <w:num w:numId="22" w16cid:durableId="402215588">
    <w:abstractNumId w:val="24"/>
  </w:num>
  <w:num w:numId="23" w16cid:durableId="2059546553">
    <w:abstractNumId w:val="8"/>
  </w:num>
  <w:num w:numId="24" w16cid:durableId="939410376">
    <w:abstractNumId w:val="3"/>
  </w:num>
  <w:num w:numId="25" w16cid:durableId="1022510874">
    <w:abstractNumId w:val="1"/>
  </w:num>
  <w:num w:numId="26" w16cid:durableId="1378236675">
    <w:abstractNumId w:val="31"/>
  </w:num>
  <w:num w:numId="27" w16cid:durableId="1300040247">
    <w:abstractNumId w:val="27"/>
  </w:num>
  <w:num w:numId="28" w16cid:durableId="901136248">
    <w:abstractNumId w:val="0"/>
  </w:num>
  <w:num w:numId="29" w16cid:durableId="1097480674">
    <w:abstractNumId w:val="4"/>
  </w:num>
  <w:num w:numId="30" w16cid:durableId="196047646">
    <w:abstractNumId w:val="9"/>
  </w:num>
  <w:num w:numId="31" w16cid:durableId="659504631">
    <w:abstractNumId w:val="26"/>
  </w:num>
  <w:num w:numId="32" w16cid:durableId="2085493205">
    <w:abstractNumId w:val="16"/>
  </w:num>
  <w:num w:numId="33" w16cid:durableId="1448424571">
    <w:abstractNumId w:val="9"/>
  </w:num>
  <w:num w:numId="34" w16cid:durableId="1655910879">
    <w:abstractNumId w:val="9"/>
  </w:num>
  <w:num w:numId="35" w16cid:durableId="1463305735">
    <w:abstractNumId w:val="14"/>
  </w:num>
  <w:num w:numId="36" w16cid:durableId="16745245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158"/>
    <w:rsid w:val="00033693"/>
    <w:rsid w:val="00076E2A"/>
    <w:rsid w:val="00084583"/>
    <w:rsid w:val="000A7C05"/>
    <w:rsid w:val="000C0470"/>
    <w:rsid w:val="0010760D"/>
    <w:rsid w:val="00127FD5"/>
    <w:rsid w:val="001303EC"/>
    <w:rsid w:val="00150CBF"/>
    <w:rsid w:val="00153335"/>
    <w:rsid w:val="001533E7"/>
    <w:rsid w:val="001B5869"/>
    <w:rsid w:val="001C3DED"/>
    <w:rsid w:val="001F594D"/>
    <w:rsid w:val="00224958"/>
    <w:rsid w:val="002726C7"/>
    <w:rsid w:val="00275264"/>
    <w:rsid w:val="002A5DDD"/>
    <w:rsid w:val="002C4605"/>
    <w:rsid w:val="002F2E0C"/>
    <w:rsid w:val="003154F8"/>
    <w:rsid w:val="003170D8"/>
    <w:rsid w:val="00321430"/>
    <w:rsid w:val="00327449"/>
    <w:rsid w:val="00333F44"/>
    <w:rsid w:val="003879DB"/>
    <w:rsid w:val="003C70C7"/>
    <w:rsid w:val="004013E2"/>
    <w:rsid w:val="00413ED0"/>
    <w:rsid w:val="00417AFF"/>
    <w:rsid w:val="0044329E"/>
    <w:rsid w:val="00456994"/>
    <w:rsid w:val="00465D2C"/>
    <w:rsid w:val="004877B5"/>
    <w:rsid w:val="004B40A5"/>
    <w:rsid w:val="004C52EA"/>
    <w:rsid w:val="004E2F2B"/>
    <w:rsid w:val="004F7501"/>
    <w:rsid w:val="0050192B"/>
    <w:rsid w:val="005201BA"/>
    <w:rsid w:val="005221AE"/>
    <w:rsid w:val="00546A38"/>
    <w:rsid w:val="005A4099"/>
    <w:rsid w:val="005B1262"/>
    <w:rsid w:val="005B7D31"/>
    <w:rsid w:val="005D2C54"/>
    <w:rsid w:val="005E44DD"/>
    <w:rsid w:val="005E74F1"/>
    <w:rsid w:val="005F6B5D"/>
    <w:rsid w:val="006001F1"/>
    <w:rsid w:val="00601175"/>
    <w:rsid w:val="00602560"/>
    <w:rsid w:val="00626DA6"/>
    <w:rsid w:val="00660E7F"/>
    <w:rsid w:val="0067520A"/>
    <w:rsid w:val="006758F5"/>
    <w:rsid w:val="00676109"/>
    <w:rsid w:val="006A0F5D"/>
    <w:rsid w:val="006B3023"/>
    <w:rsid w:val="006C7D40"/>
    <w:rsid w:val="006F254A"/>
    <w:rsid w:val="006F716E"/>
    <w:rsid w:val="0070711B"/>
    <w:rsid w:val="00710483"/>
    <w:rsid w:val="007153E4"/>
    <w:rsid w:val="00747861"/>
    <w:rsid w:val="007B0856"/>
    <w:rsid w:val="007F4B5F"/>
    <w:rsid w:val="008412D7"/>
    <w:rsid w:val="00853158"/>
    <w:rsid w:val="00853D28"/>
    <w:rsid w:val="00876F59"/>
    <w:rsid w:val="008C75A8"/>
    <w:rsid w:val="008E3950"/>
    <w:rsid w:val="00910163"/>
    <w:rsid w:val="00911D37"/>
    <w:rsid w:val="00925CC9"/>
    <w:rsid w:val="00937402"/>
    <w:rsid w:val="00940839"/>
    <w:rsid w:val="00971D6A"/>
    <w:rsid w:val="00983C12"/>
    <w:rsid w:val="0098666D"/>
    <w:rsid w:val="009B476E"/>
    <w:rsid w:val="009B7C27"/>
    <w:rsid w:val="009D306A"/>
    <w:rsid w:val="009E5B87"/>
    <w:rsid w:val="00A028F6"/>
    <w:rsid w:val="00A227F3"/>
    <w:rsid w:val="00A46CD1"/>
    <w:rsid w:val="00A77AE6"/>
    <w:rsid w:val="00AC0A30"/>
    <w:rsid w:val="00BB3B50"/>
    <w:rsid w:val="00BB4B9D"/>
    <w:rsid w:val="00BB646C"/>
    <w:rsid w:val="00BD1F6E"/>
    <w:rsid w:val="00BD55A2"/>
    <w:rsid w:val="00C432C4"/>
    <w:rsid w:val="00C5741C"/>
    <w:rsid w:val="00C77467"/>
    <w:rsid w:val="00C965CC"/>
    <w:rsid w:val="00C978F1"/>
    <w:rsid w:val="00CA5A6B"/>
    <w:rsid w:val="00CB4B08"/>
    <w:rsid w:val="00CD1B38"/>
    <w:rsid w:val="00CD786F"/>
    <w:rsid w:val="00CF37A4"/>
    <w:rsid w:val="00D330EE"/>
    <w:rsid w:val="00D35BBD"/>
    <w:rsid w:val="00D84EDC"/>
    <w:rsid w:val="00D93B14"/>
    <w:rsid w:val="00DA30E6"/>
    <w:rsid w:val="00DD088D"/>
    <w:rsid w:val="00DD31D5"/>
    <w:rsid w:val="00DF337D"/>
    <w:rsid w:val="00E2768B"/>
    <w:rsid w:val="00E33C18"/>
    <w:rsid w:val="00E66F24"/>
    <w:rsid w:val="00E7205C"/>
    <w:rsid w:val="00E914EA"/>
    <w:rsid w:val="00EB3939"/>
    <w:rsid w:val="00ED49DE"/>
    <w:rsid w:val="00ED7DF1"/>
    <w:rsid w:val="00F12656"/>
    <w:rsid w:val="00F330F3"/>
    <w:rsid w:val="00F81089"/>
    <w:rsid w:val="00FC0C25"/>
    <w:rsid w:val="00FC7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4237D7"/>
  <w15:chartTrackingRefBased/>
  <w15:docId w15:val="{E37E2BD3-931B-4015-BCB7-996DD4D31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79DB"/>
    <w:pPr>
      <w:spacing w:line="480" w:lineRule="auto"/>
      <w:ind w:firstLine="1418"/>
      <w:jc w:val="both"/>
    </w:pPr>
    <w:rPr>
      <w:rFonts w:ascii="Arial" w:hAnsi="Arial" w:cs="Arial"/>
      <w:sz w:val="22"/>
      <w:szCs w:val="22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5A4099"/>
    <w:pPr>
      <w:keepNext/>
      <w:keepLines/>
      <w:numPr>
        <w:numId w:val="30"/>
      </w:numPr>
      <w:spacing w:before="360" w:after="240"/>
      <w:outlineLvl w:val="0"/>
    </w:pPr>
    <w:rPr>
      <w:rFonts w:eastAsiaTheme="majorEastAsia"/>
      <w:b/>
      <w:bCs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D55A2"/>
    <w:pPr>
      <w:keepNext/>
      <w:keepLines/>
      <w:numPr>
        <w:ilvl w:val="1"/>
        <w:numId w:val="30"/>
      </w:numPr>
      <w:spacing w:before="160" w:after="80"/>
      <w:ind w:left="1276"/>
      <w:outlineLvl w:val="1"/>
    </w:pPr>
    <w:rPr>
      <w:rFonts w:eastAsiaTheme="majorEastAsia"/>
      <w:b/>
      <w:bCs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53158"/>
    <w:pPr>
      <w:keepNext/>
      <w:keepLines/>
      <w:numPr>
        <w:ilvl w:val="2"/>
        <w:numId w:val="30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53158"/>
    <w:pPr>
      <w:keepNext/>
      <w:keepLines/>
      <w:numPr>
        <w:ilvl w:val="3"/>
        <w:numId w:val="30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53158"/>
    <w:pPr>
      <w:keepNext/>
      <w:keepLines/>
      <w:numPr>
        <w:ilvl w:val="4"/>
        <w:numId w:val="30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53158"/>
    <w:pPr>
      <w:keepNext/>
      <w:keepLines/>
      <w:numPr>
        <w:ilvl w:val="5"/>
        <w:numId w:val="30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53158"/>
    <w:pPr>
      <w:keepNext/>
      <w:keepLines/>
      <w:numPr>
        <w:ilvl w:val="6"/>
        <w:numId w:val="30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53158"/>
    <w:pPr>
      <w:keepNext/>
      <w:keepLines/>
      <w:numPr>
        <w:ilvl w:val="7"/>
        <w:numId w:val="30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53158"/>
    <w:pPr>
      <w:keepNext/>
      <w:keepLines/>
      <w:numPr>
        <w:ilvl w:val="8"/>
        <w:numId w:val="30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4099"/>
    <w:rPr>
      <w:rFonts w:ascii="Arial" w:eastAsiaTheme="majorEastAsia" w:hAnsi="Arial" w:cs="Arial"/>
      <w:b/>
      <w:bCs/>
      <w:sz w:val="22"/>
      <w:szCs w:val="22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BD55A2"/>
    <w:rPr>
      <w:rFonts w:ascii="Arial" w:eastAsiaTheme="majorEastAsia" w:hAnsi="Arial" w:cs="Arial"/>
      <w:b/>
      <w:bCs/>
      <w:sz w:val="22"/>
      <w:szCs w:val="22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853158"/>
    <w:rPr>
      <w:rFonts w:eastAsiaTheme="majorEastAsia" w:cstheme="majorBidi"/>
      <w:color w:val="0F4761" w:themeColor="accent1" w:themeShade="BF"/>
      <w:sz w:val="28"/>
      <w:szCs w:val="28"/>
      <w:lang w:val="pt-BR"/>
    </w:rPr>
  </w:style>
  <w:style w:type="character" w:customStyle="1" w:styleId="Ttulo4Char">
    <w:name w:val="Título 4 Char"/>
    <w:basedOn w:val="Fontepargpadro"/>
    <w:link w:val="Ttulo4"/>
    <w:uiPriority w:val="9"/>
    <w:rsid w:val="00853158"/>
    <w:rPr>
      <w:rFonts w:eastAsiaTheme="majorEastAsia" w:cstheme="majorBidi"/>
      <w:i/>
      <w:iCs/>
      <w:color w:val="0F4761" w:themeColor="accent1" w:themeShade="BF"/>
      <w:lang w:val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53158"/>
    <w:rPr>
      <w:rFonts w:eastAsiaTheme="majorEastAsia" w:cstheme="majorBidi"/>
      <w:color w:val="0F4761" w:themeColor="accent1" w:themeShade="BF"/>
      <w:lang w:val="pt-BR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53158"/>
    <w:rPr>
      <w:rFonts w:eastAsiaTheme="majorEastAsia" w:cstheme="majorBidi"/>
      <w:i/>
      <w:iCs/>
      <w:color w:val="595959" w:themeColor="text1" w:themeTint="A6"/>
      <w:lang w:val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53158"/>
    <w:rPr>
      <w:rFonts w:eastAsiaTheme="majorEastAsia" w:cstheme="majorBidi"/>
      <w:color w:val="595959" w:themeColor="text1" w:themeTint="A6"/>
      <w:lang w:val="pt-BR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53158"/>
    <w:rPr>
      <w:rFonts w:eastAsiaTheme="majorEastAsia" w:cstheme="majorBidi"/>
      <w:i/>
      <w:iCs/>
      <w:color w:val="272727" w:themeColor="text1" w:themeTint="D8"/>
      <w:lang w:val="pt-BR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53158"/>
    <w:rPr>
      <w:rFonts w:eastAsiaTheme="majorEastAsia" w:cstheme="majorBidi"/>
      <w:color w:val="272727" w:themeColor="text1" w:themeTint="D8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5D2C54"/>
    <w:pPr>
      <w:ind w:firstLine="0"/>
      <w:jc w:val="center"/>
    </w:pPr>
    <w:rPr>
      <w:b/>
      <w:bCs/>
    </w:rPr>
  </w:style>
  <w:style w:type="character" w:customStyle="1" w:styleId="TtuloChar">
    <w:name w:val="Título Char"/>
    <w:basedOn w:val="Fontepargpadro"/>
    <w:link w:val="Ttulo"/>
    <w:uiPriority w:val="10"/>
    <w:rsid w:val="005D2C54"/>
    <w:rPr>
      <w:rFonts w:ascii="Arial" w:hAnsi="Arial" w:cs="Arial"/>
      <w:b/>
      <w:bCs/>
      <w:sz w:val="22"/>
      <w:szCs w:val="22"/>
      <w:lang w:val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853158"/>
    <w:pPr>
      <w:numPr>
        <w:ilvl w:val="1"/>
      </w:numPr>
      <w:ind w:firstLine="141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53158"/>
    <w:rPr>
      <w:rFonts w:eastAsiaTheme="majorEastAsia" w:cstheme="majorBidi"/>
      <w:color w:val="595959" w:themeColor="text1" w:themeTint="A6"/>
      <w:spacing w:val="15"/>
      <w:sz w:val="28"/>
      <w:szCs w:val="28"/>
      <w:lang w:val="pt-BR"/>
    </w:rPr>
  </w:style>
  <w:style w:type="paragraph" w:styleId="Citao">
    <w:name w:val="Quote"/>
    <w:basedOn w:val="Normal"/>
    <w:next w:val="Normal"/>
    <w:link w:val="CitaoChar"/>
    <w:uiPriority w:val="29"/>
    <w:qFormat/>
    <w:rsid w:val="00853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53158"/>
    <w:rPr>
      <w:i/>
      <w:iCs/>
      <w:color w:val="404040" w:themeColor="text1" w:themeTint="BF"/>
      <w:lang w:val="pt-BR"/>
    </w:rPr>
  </w:style>
  <w:style w:type="paragraph" w:styleId="PargrafodaLista">
    <w:name w:val="List Paragraph"/>
    <w:basedOn w:val="Normal"/>
    <w:uiPriority w:val="34"/>
    <w:qFormat/>
    <w:rsid w:val="008531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531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53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53158"/>
    <w:rPr>
      <w:i/>
      <w:iCs/>
      <w:color w:val="0F4761" w:themeColor="accent1" w:themeShade="BF"/>
      <w:lang w:val="pt-BR"/>
    </w:rPr>
  </w:style>
  <w:style w:type="character" w:styleId="RefernciaIntensa">
    <w:name w:val="Intense Reference"/>
    <w:basedOn w:val="Fontepargpadro"/>
    <w:uiPriority w:val="32"/>
    <w:qFormat/>
    <w:rsid w:val="008531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77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77B5"/>
    <w:rPr>
      <w:lang w:val="pt-BR"/>
    </w:rPr>
  </w:style>
  <w:style w:type="paragraph" w:styleId="Rodap">
    <w:name w:val="footer"/>
    <w:basedOn w:val="Normal"/>
    <w:link w:val="RodapChar"/>
    <w:uiPriority w:val="99"/>
    <w:unhideWhenUsed/>
    <w:rsid w:val="004877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77B5"/>
    <w:rPr>
      <w:lang w:val="pt-BR"/>
    </w:rPr>
  </w:style>
  <w:style w:type="table" w:styleId="Tabelacomgrade">
    <w:name w:val="Table Grid"/>
    <w:basedOn w:val="Tabelanormal"/>
    <w:uiPriority w:val="39"/>
    <w:rsid w:val="00F810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D49D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D49DE"/>
    <w:rPr>
      <w:rFonts w:ascii="Arial" w:hAnsi="Arial" w:cs="Arial"/>
      <w:sz w:val="20"/>
      <w:szCs w:val="20"/>
      <w:lang w:val="pt-BR"/>
    </w:rPr>
  </w:style>
  <w:style w:type="character" w:styleId="Refdenotaderodap">
    <w:name w:val="footnote reference"/>
    <w:basedOn w:val="Fontepargpadro"/>
    <w:uiPriority w:val="99"/>
    <w:semiHidden/>
    <w:unhideWhenUsed/>
    <w:rsid w:val="00ED49D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A5C936-9DAF-4256-93C9-6677920FD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8</Pages>
  <Words>1860</Words>
  <Characters>10794</Characters>
  <Application>Microsoft Office Word</Application>
  <DocSecurity>0</DocSecurity>
  <Lines>284</Lines>
  <Paragraphs>127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Pinheiro</dc:creator>
  <cp:keywords/>
  <dc:description/>
  <cp:lastModifiedBy>Bruno Pinheiro</cp:lastModifiedBy>
  <cp:revision>49</cp:revision>
  <cp:lastPrinted>2025-09-09T14:45:00Z</cp:lastPrinted>
  <dcterms:created xsi:type="dcterms:W3CDTF">2025-09-22T20:55:00Z</dcterms:created>
  <dcterms:modified xsi:type="dcterms:W3CDTF">2026-03-04T21:54:00Z</dcterms:modified>
</cp:coreProperties>
</file>