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556"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72" w:line="240"/>
        <w:ind w:right="0" w:left="0" w:firstLine="0"/>
        <w:jc w:val="right"/>
        <w:rPr>
          <w:rFonts w:ascii="Calibri" w:hAnsi="Calibri" w:cs="Calibri" w:eastAsia="Calibri"/>
          <w:color w:val="000000"/>
          <w:spacing w:val="0"/>
          <w:position w:val="0"/>
          <w:sz w:val="22"/>
          <w:shd w:fill="auto" w:val="clear"/>
        </w:rPr>
      </w:pPr>
      <w:r>
        <w:rPr>
          <w:rFonts w:ascii="Calibri" w:hAnsi="Calibri" w:cs="Calibri" w:eastAsia="Calibri"/>
          <w:b/>
          <w:color w:val="0D0D0D"/>
          <w:spacing w:val="0"/>
          <w:position w:val="0"/>
          <w:sz w:val="48"/>
          <w:shd w:fill="auto" w:val="clear"/>
        </w:rPr>
        <w:t xml:space="preserve">Gas Leakage Monitoring and Alerting </w:t>
      </w:r>
    </w:p>
    <w:p>
      <w:pPr>
        <w:spacing w:before="0" w:after="177" w:line="240"/>
        <w:ind w:right="0" w:left="0" w:firstLine="0"/>
        <w:jc w:val="center"/>
        <w:rPr>
          <w:rFonts w:ascii="Calibri" w:hAnsi="Calibri" w:cs="Calibri" w:eastAsia="Calibri"/>
          <w:color w:val="000000"/>
          <w:spacing w:val="0"/>
          <w:position w:val="0"/>
          <w:sz w:val="48"/>
          <w:shd w:fill="auto" w:val="clear"/>
        </w:rPr>
      </w:pPr>
      <w:r>
        <w:rPr>
          <w:rFonts w:ascii="Calibri" w:hAnsi="Calibri" w:cs="Calibri" w:eastAsia="Calibri"/>
          <w:b/>
          <w:color w:val="0D0D0D"/>
          <w:spacing w:val="0"/>
          <w:position w:val="0"/>
          <w:sz w:val="48"/>
          <w:shd w:fill="auto" w:val="clear"/>
        </w:rPr>
        <w:t xml:space="preserve">System</w:t>
      </w:r>
      <w:r>
        <w:rPr>
          <w:rFonts w:ascii="Calibri" w:hAnsi="Calibri" w:cs="Calibri" w:eastAsia="Calibri"/>
          <w:color w:val="000000"/>
          <w:spacing w:val="0"/>
          <w:position w:val="0"/>
          <w:sz w:val="48"/>
          <w:shd w:fill="auto" w:val="clear"/>
        </w:rPr>
        <w:t xml:space="preserve"> </w:t>
      </w:r>
    </w:p>
    <w:p>
      <w:pPr>
        <w:spacing w:before="0" w:after="3" w:line="276"/>
        <w:ind w:right="0" w:left="0" w:firstLine="0"/>
        <w:jc w:val="left"/>
        <w:rPr>
          <w:rFonts w:ascii="Calibri" w:hAnsi="Calibri" w:cs="Calibri" w:eastAsia="Calibri"/>
          <w:color w:val="000000"/>
          <w:spacing w:val="0"/>
          <w:position w:val="0"/>
          <w:sz w:val="22"/>
          <w:shd w:fill="auto" w:val="clear"/>
        </w:rPr>
      </w:pPr>
    </w:p>
    <w:tbl>
      <w:tblPr/>
      <w:tblGrid>
        <w:gridCol w:w="4509"/>
        <w:gridCol w:w="5969"/>
      </w:tblGrid>
      <w:tr>
        <w:trPr>
          <w:trHeight w:val="1" w:hRule="atLeast"/>
          <w:jc w:val="left"/>
        </w:trPr>
        <w:tc>
          <w:tcPr>
            <w:tcW w:w="4509"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76"/>
              <w:ind w:right="0" w:left="106"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Team ID </w:t>
            </w:r>
          </w:p>
        </w:tc>
        <w:tc>
          <w:tcPr>
            <w:tcW w:w="5969"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PNT2022TMID14465</w:t>
            </w:r>
          </w:p>
        </w:tc>
      </w:tr>
      <w:tr>
        <w:trPr>
          <w:trHeight w:val="1" w:hRule="atLeast"/>
          <w:jc w:val="left"/>
        </w:trPr>
        <w:tc>
          <w:tcPr>
            <w:tcW w:w="4509"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76"/>
              <w:ind w:right="0" w:left="106"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Project Name </w:t>
            </w:r>
          </w:p>
        </w:tc>
        <w:tc>
          <w:tcPr>
            <w:tcW w:w="5969"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76"/>
              <w:ind w:right="0" w:left="0" w:firstLine="0"/>
              <w:jc w:val="left"/>
              <w:rPr>
                <w:spacing w:val="0"/>
                <w:position w:val="0"/>
              </w:rPr>
            </w:pPr>
            <w:r>
              <w:rPr>
                <w:rFonts w:ascii="Calibri" w:hAnsi="Calibri" w:cs="Calibri" w:eastAsia="Calibri"/>
                <w:color w:val="000000"/>
                <w:spacing w:val="0"/>
                <w:position w:val="0"/>
                <w:sz w:val="22"/>
                <w:shd w:fill="auto" w:val="clear"/>
              </w:rPr>
              <w:t xml:space="preserve"> </w:t>
            </w:r>
            <w:r>
              <w:rPr>
                <w:rFonts w:ascii="Arial" w:hAnsi="Arial" w:cs="Arial" w:eastAsia="Arial"/>
                <w:color w:val="000000"/>
                <w:spacing w:val="0"/>
                <w:position w:val="0"/>
                <w:sz w:val="23"/>
                <w:shd w:fill="FFFFFF" w:val="clear"/>
              </w:rPr>
              <w:t xml:space="preserve">Gas Leakage monitoring &amp; Alerting system for Industries</w:t>
            </w:r>
            <w:r>
              <w:rPr>
                <w:rFonts w:ascii="Calibri" w:hAnsi="Calibri" w:cs="Calibri" w:eastAsia="Calibri"/>
                <w:color w:val="000000"/>
                <w:spacing w:val="0"/>
                <w:position w:val="0"/>
                <w:sz w:val="22"/>
                <w:shd w:fill="auto" w:val="clear"/>
              </w:rPr>
              <w:t xml:space="preserve">  </w:t>
            </w:r>
          </w:p>
        </w:tc>
      </w:tr>
    </w:tbl>
    <w:p>
      <w:pPr>
        <w:spacing w:before="0" w:after="92" w:line="276"/>
        <w:ind w:right="0" w:left="0" w:firstLine="0"/>
        <w:jc w:val="left"/>
        <w:rPr>
          <w:rFonts w:ascii="Calibri" w:hAnsi="Calibri" w:cs="Calibri" w:eastAsia="Calibri"/>
          <w:color w:val="000000"/>
          <w:spacing w:val="0"/>
          <w:position w:val="0"/>
          <w:sz w:val="22"/>
          <w:shd w:fill="auto" w:val="clear"/>
        </w:rPr>
      </w:pPr>
    </w:p>
    <w:p>
      <w:pPr>
        <w:spacing w:before="0" w:after="92" w:line="276"/>
        <w:ind w:right="0" w:left="0" w:firstLine="0"/>
        <w:jc w:val="left"/>
        <w:rPr>
          <w:rFonts w:ascii="Calibri" w:hAnsi="Calibri" w:cs="Calibri" w:eastAsia="Calibri"/>
          <w:color w:val="000000"/>
          <w:spacing w:val="0"/>
          <w:position w:val="0"/>
          <w:sz w:val="22"/>
          <w:shd w:fill="auto" w:val="clear"/>
        </w:rPr>
      </w:pPr>
    </w:p>
    <w:p>
      <w:pPr>
        <w:spacing w:before="0" w:after="2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36"/>
          <w:shd w:fill="auto" w:val="clear"/>
        </w:rPr>
        <w:t xml:space="preserve">Functional Requirements</w:t>
      </w:r>
      <w:r>
        <w:rPr>
          <w:rFonts w:ascii="Calibri" w:hAnsi="Calibri" w:cs="Calibri" w:eastAsia="Calibri"/>
          <w:color w:val="000000"/>
          <w:spacing w:val="0"/>
          <w:position w:val="0"/>
          <w:sz w:val="36"/>
          <w:shd w:fill="auto" w:val="clear"/>
        </w:rPr>
        <w:t xml:space="preserve"> </w:t>
      </w:r>
      <w:r>
        <w:rPr>
          <w:rFonts w:ascii="Calibri" w:hAnsi="Calibri" w:cs="Calibri" w:eastAsia="Calibri"/>
          <w:color w:val="000000"/>
          <w:spacing w:val="0"/>
          <w:position w:val="0"/>
          <w:sz w:val="28"/>
          <w:shd w:fill="auto" w:val="clear"/>
        </w:rPr>
        <w:t xml:space="preserve"> </w:t>
      </w:r>
    </w:p>
    <w:tbl>
      <w:tblPr>
        <w:tblInd w:w="8" w:type="dxa"/>
      </w:tblPr>
      <w:tblGrid>
        <w:gridCol w:w="3120"/>
        <w:gridCol w:w="3120"/>
        <w:gridCol w:w="3120"/>
      </w:tblGrid>
      <w:tr>
        <w:trPr>
          <w:trHeight w:val="1" w:hRule="atLeast"/>
          <w:jc w:val="left"/>
        </w:trPr>
        <w:tc>
          <w:tcPr>
            <w:tcW w:w="3120" w:type="dxa"/>
            <w:tcBorders>
              <w:top w:val="single" w:color="000000" w:sz="6"/>
              <w:left w:val="single" w:color="000000" w:sz="6"/>
              <w:bottom w:val="single" w:color="000000" w:sz="6"/>
              <w:right w:val="single" w:color="000000" w:sz="6"/>
            </w:tcBorders>
            <w:shd w:color="000000" w:fill="ffffff" w:val="clear"/>
            <w:tcMar>
              <w:left w:w="106" w:type="dxa"/>
              <w:right w:w="106" w:type="dxa"/>
            </w:tcMar>
            <w:vAlign w:val="top"/>
          </w:tcPr>
          <w:p>
            <w:pPr>
              <w:spacing w:before="0" w:after="0" w:line="276"/>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Business Requirements</w:t>
            </w:r>
            <w:r>
              <w:rPr>
                <w:rFonts w:ascii="Calibri" w:hAnsi="Calibri" w:cs="Calibri" w:eastAsia="Calibri"/>
                <w:color w:val="000000"/>
                <w:spacing w:val="0"/>
                <w:position w:val="0"/>
                <w:sz w:val="24"/>
                <w:shd w:fill="auto" w:val="clear"/>
              </w:rPr>
              <w:t xml:space="preserve"> </w:t>
            </w:r>
          </w:p>
        </w:tc>
        <w:tc>
          <w:tcPr>
            <w:tcW w:w="3120" w:type="dxa"/>
            <w:tcBorders>
              <w:top w:val="single" w:color="000000" w:sz="6"/>
              <w:left w:val="single" w:color="000000" w:sz="6"/>
              <w:bottom w:val="single" w:color="000000" w:sz="6"/>
              <w:right w:val="single" w:color="000000" w:sz="6"/>
            </w:tcBorders>
            <w:shd w:color="000000" w:fill="ffffff" w:val="clear"/>
            <w:tcMar>
              <w:left w:w="106" w:type="dxa"/>
              <w:right w:w="106" w:type="dxa"/>
            </w:tcMar>
            <w:vAlign w:val="top"/>
          </w:tcPr>
          <w:p>
            <w:pPr>
              <w:spacing w:before="0" w:after="0" w:line="276"/>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User Requirements</w:t>
            </w:r>
            <w:r>
              <w:rPr>
                <w:rFonts w:ascii="Calibri" w:hAnsi="Calibri" w:cs="Calibri" w:eastAsia="Calibri"/>
                <w:color w:val="000000"/>
                <w:spacing w:val="0"/>
                <w:position w:val="0"/>
                <w:sz w:val="24"/>
                <w:shd w:fill="auto" w:val="clear"/>
              </w:rPr>
              <w:t xml:space="preserve"> </w:t>
            </w:r>
          </w:p>
        </w:tc>
        <w:tc>
          <w:tcPr>
            <w:tcW w:w="3120" w:type="dxa"/>
            <w:tcBorders>
              <w:top w:val="single" w:color="000000" w:sz="6"/>
              <w:left w:val="single" w:color="000000" w:sz="6"/>
              <w:bottom w:val="single" w:color="000000" w:sz="6"/>
              <w:right w:val="single" w:color="000000" w:sz="6"/>
            </w:tcBorders>
            <w:shd w:color="000000" w:fill="ffffff" w:val="clear"/>
            <w:tcMar>
              <w:left w:w="106" w:type="dxa"/>
              <w:right w:w="106" w:type="dxa"/>
            </w:tcMar>
            <w:vAlign w:val="top"/>
          </w:tcPr>
          <w:p>
            <w:pPr>
              <w:spacing w:before="0" w:after="0" w:line="276"/>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Product Requirements</w:t>
            </w:r>
            <w:r>
              <w:rPr>
                <w:rFonts w:ascii="Calibri" w:hAnsi="Calibri" w:cs="Calibri" w:eastAsia="Calibri"/>
                <w:color w:val="000000"/>
                <w:spacing w:val="0"/>
                <w:position w:val="0"/>
                <w:sz w:val="24"/>
                <w:shd w:fill="auto" w:val="clear"/>
              </w:rPr>
              <w:t xml:space="preserve"> </w:t>
            </w:r>
          </w:p>
        </w:tc>
      </w:tr>
      <w:tr>
        <w:trPr>
          <w:trHeight w:val="1" w:hRule="atLeast"/>
          <w:jc w:val="left"/>
        </w:trPr>
        <w:tc>
          <w:tcPr>
            <w:tcW w:w="3120" w:type="dxa"/>
            <w:tcBorders>
              <w:top w:val="single" w:color="000000" w:sz="6"/>
              <w:left w:val="single" w:color="000000" w:sz="6"/>
              <w:bottom w:val="single" w:color="000000" w:sz="6"/>
              <w:right w:val="single" w:color="000000" w:sz="6"/>
            </w:tcBorders>
            <w:shd w:color="000000" w:fill="ffffff" w:val="clear"/>
            <w:tcMar>
              <w:left w:w="106" w:type="dxa"/>
              <w:right w:w="106"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The said system can be deployed in homes, hotels, factory units, LPG cylinder storage areas, and so on. The main advantage of this IoT and Arduino-based application is that it can determine the leakage and send the data over to a site. It can be monitored, and preventive measures can be taken to avoid any disaster. </w:t>
            </w:r>
          </w:p>
        </w:tc>
        <w:tc>
          <w:tcPr>
            <w:tcW w:w="3120" w:type="dxa"/>
            <w:tcBorders>
              <w:top w:val="single" w:color="000000" w:sz="6"/>
              <w:left w:val="single" w:color="000000" w:sz="6"/>
              <w:bottom w:val="single" w:color="000000" w:sz="6"/>
              <w:right w:val="single" w:color="000000" w:sz="6"/>
            </w:tcBorders>
            <w:shd w:color="000000" w:fill="ffffff" w:val="clear"/>
            <w:tcMar>
              <w:left w:w="106" w:type="dxa"/>
              <w:right w:w="106"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The gas leakage detection system can be optimized for detecting toxic gasses along with upgrading them with smoke and fire detectors to identify the presence of smoke and fire. Ensuring worker safety is important but making using of the right technology is even more vital. </w:t>
            </w:r>
          </w:p>
        </w:tc>
        <w:tc>
          <w:tcPr>
            <w:tcW w:w="3120" w:type="dxa"/>
            <w:tcBorders>
              <w:top w:val="single" w:color="000000" w:sz="6"/>
              <w:left w:val="single" w:color="000000" w:sz="6"/>
              <w:bottom w:val="single" w:color="000000" w:sz="6"/>
              <w:right w:val="single" w:color="000000" w:sz="6"/>
            </w:tcBorders>
            <w:shd w:color="000000" w:fill="ffffff" w:val="clear"/>
            <w:tcMar>
              <w:left w:w="106" w:type="dxa"/>
              <w:right w:w="106" w:type="dxa"/>
            </w:tcMar>
            <w:vAlign w:val="top"/>
          </w:tcPr>
          <w:p>
            <w:pPr>
              <w:spacing w:before="0" w:after="80" w:line="291"/>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Detecting gasses is necessary regardless of your business role or individual purpose. Certain technologies at play make such IoT devices what they are, and if you want to indulge in IoT application development, you must know what they are and what </w:t>
            </w:r>
          </w:p>
          <w:p>
            <w:pPr>
              <w:spacing w:before="0" w:after="34"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purpose they can fulfill. </w:t>
            </w:r>
          </w:p>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bl>
    <w:p>
      <w:pPr>
        <w:spacing w:before="0" w:after="3953"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