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Average Age For Different Chest Pain Types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Over all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sex - chest pain types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, the average of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is 2.174.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The average values of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range from 0, occurring when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Sex - Chest pain type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is 0|1, to 3, when </w:t>
      </w: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Sex - Chest pain type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is 0|1.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The most common value of Sex - Chest pain type is 0|2, occurring 183 times, which is 67.8 % of the total.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zK7shpsTgcwCmozN81w/hwh+A==">AMUW2mWLTGd+ouycJe1a5NxTzOQuXE+SHP1fnM/FAO0adBXQbEdhqYYb/2yUFcNC85J2OcoLqZ5SpebYGNz9MQJPJ9qW/iJ6S2NWNyXrRzLpV+/WgUUW4exZK8IyB5Qsq/4zw+wUZWM/WAIaR6thKPhbq8W+J63oYw==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2022-11-15T03:42:00Z</dcterms:created>
</cp:coreProperties>
</file>