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Working With Dataset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BP Variation With Respect To Age</w:t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PNT2022TMID04459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Visualizing and Predicting Heart Diseases with an Interactive Dashboard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For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BP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, the most significant value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Age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54, whose respective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BP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values add up to over two thousand, or 5.8 % of the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BP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unusually high when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Age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54.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For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BP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, the most significant value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1, whose respective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BP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values add up to almost 24 thousand, or 67.4 % of the total.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BP is unusually high when the combinations of Age and Sex are 59 and 1, 54 and 1, 57 and 1 and 58 and 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WdhcXNL5wHrQQAnW0bt8vm3aw==">AMUW2mUMNZHF6H1EVDicTMIHnKa+7LSCyyguXk6DBVjB8jrmu3PKHuzjo+vleTOQH3lROr86J8vtNwvQ74GfDPAblgBm4DFF0qLb4DQF/37AKp8XUarxenQ1Z9RwDPH28mDc9ItvPh7wC4L5D/M+4FaNtJMe0X1hXA==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2022-11-15T03:44:00Z</dcterms:created>
</cp:coreProperties>
</file>