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820013">
      <w:pPr>
        <w:spacing w:after="0"/>
        <w:ind w:firstLine="72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901072" w:rsidR="000708AF" w:rsidRPr="00AB20AC" w:rsidRDefault="001C3164" w:rsidP="000708AF">
            <w:pPr>
              <w:rPr>
                <w:rFonts w:cstheme="minorHAnsi"/>
              </w:rPr>
            </w:pPr>
            <w:r w:rsidRPr="001C3164">
              <w:rPr>
                <w:rFonts w:cstheme="minorHAnsi"/>
              </w:rPr>
              <w:t>IBM-Project-12825-1659495168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6662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3473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473E">
              <w:rPr>
                <w:rFonts w:cstheme="minorHAnsi"/>
              </w:rPr>
              <w:t>Crude Oil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architecture is a complex process – with many sub-processes – that bridges </w:t>
      </w:r>
      <w:bookmarkStart w:id="0" w:name="_GoBack"/>
      <w:bookmarkEnd w:id="0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C9753B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F3473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55CAD6D" w:rsidR="000F0ECD" w:rsidRDefault="001C316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4F9B237" wp14:editId="6B0781F3">
            <wp:simplePos x="0" y="0"/>
            <wp:positionH relativeFrom="margin">
              <wp:align>center</wp:align>
            </wp:positionH>
            <wp:positionV relativeFrom="paragraph">
              <wp:posOffset>388408</wp:posOffset>
            </wp:positionV>
            <wp:extent cx="7299967" cy="3386666"/>
            <wp:effectExtent l="0" t="0" r="0" b="4445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2" name="Picture 2" descr="C:\Users\vicky\Downloads\hel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ownloads\hell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7" cy="33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2B2DE" w14:textId="4AA6A033" w:rsidR="009E4E6C" w:rsidRDefault="009E4E6C" w:rsidP="000F0ECD">
      <w:pPr>
        <w:rPr>
          <w:rFonts w:cstheme="minorHAnsi"/>
          <w:b/>
          <w:bCs/>
        </w:rPr>
      </w:pPr>
    </w:p>
    <w:p w14:paraId="4F6A7B23" w14:textId="116144C4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C3164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20013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3473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waran</cp:lastModifiedBy>
  <cp:revision>4</cp:revision>
  <dcterms:created xsi:type="dcterms:W3CDTF">2022-10-03T08:27:00Z</dcterms:created>
  <dcterms:modified xsi:type="dcterms:W3CDTF">2022-10-12T09:36:00Z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9d7b6c99357263fb87898bb6ff506c30c42e879b52c36649cb6782abc21f9bc6</vt:lpwstr>
  </property>
</Properties>
</file>