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86A6" w14:textId="57007AF2" w:rsidR="00B85AA8" w:rsidRDefault="00B85AA8">
      <w:r>
        <w:t>EMPATHY MAP:</w:t>
      </w:r>
    </w:p>
    <w:p w14:paraId="48796EB4" w14:textId="6156CC4D" w:rsidR="00B85AA8" w:rsidRDefault="000D4676">
      <w:r>
        <w:rPr>
          <w:noProof/>
        </w:rPr>
        <w:drawing>
          <wp:anchor distT="0" distB="0" distL="114300" distR="114300" simplePos="0" relativeHeight="251658240" behindDoc="0" locked="0" layoutInCell="1" allowOverlap="1" wp14:anchorId="59E8868E" wp14:editId="5313746B">
            <wp:simplePos x="0" y="0"/>
            <wp:positionH relativeFrom="column">
              <wp:posOffset>2106706</wp:posOffset>
            </wp:positionH>
            <wp:positionV relativeFrom="paragraph">
              <wp:posOffset>1211356</wp:posOffset>
            </wp:positionV>
            <wp:extent cx="1187015" cy="772160"/>
            <wp:effectExtent l="76200" t="76200" r="127635" b="142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49970" t="35342" r="29386" b="37948"/>
                    <a:stretch/>
                  </pic:blipFill>
                  <pic:spPr bwMode="auto">
                    <a:xfrm>
                      <a:off x="0" y="0"/>
                      <a:ext cx="1193659" cy="776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5AA8">
        <w:rPr>
          <w:noProof/>
        </w:rPr>
        <w:drawing>
          <wp:inline distT="0" distB="0" distL="0" distR="0" wp14:anchorId="19C1CF9C" wp14:editId="0E7E2D82">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8F8F10B" w14:textId="5143E3EC" w:rsidR="000D4676" w:rsidRDefault="000D4676"/>
    <w:p w14:paraId="348BC607" w14:textId="5C110C95" w:rsidR="000D4676" w:rsidRDefault="000D4676"/>
    <w:sectPr w:rsidR="000D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A8"/>
    <w:rsid w:val="000D4676"/>
    <w:rsid w:val="001F166B"/>
    <w:rsid w:val="00B85AA8"/>
    <w:rsid w:val="00EC2B21"/>
    <w:rsid w:val="00FA2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4953"/>
  <w15:chartTrackingRefBased/>
  <w15:docId w15:val="{FB57E05D-450E-48BC-B15E-F9629277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52C668-825E-4F0E-9C94-502F6BAAEA3F}" type="doc">
      <dgm:prSet loTypeId="urn:microsoft.com/office/officeart/2005/8/layout/matrix1" loCatId="matrix" qsTypeId="urn:microsoft.com/office/officeart/2005/8/quickstyle/simple1" qsCatId="simple" csTypeId="urn:microsoft.com/office/officeart/2005/8/colors/accent0_1" csCatId="mainScheme" phldr="1"/>
      <dgm:spPr/>
      <dgm:t>
        <a:bodyPr/>
        <a:lstStyle/>
        <a:p>
          <a:endParaRPr lang="en-IN"/>
        </a:p>
      </dgm:t>
    </dgm:pt>
    <dgm:pt modelId="{0BF7AEEB-2C1C-4511-AC65-42A8CD85FEFE}">
      <dgm:prSet phldrT="[Text]" phldr="1"/>
      <dgm:spPr/>
      <dgm:t>
        <a:bodyPr/>
        <a:lstStyle/>
        <a:p>
          <a:endParaRPr lang="en-IN"/>
        </a:p>
      </dgm:t>
    </dgm:pt>
    <dgm:pt modelId="{55AD17A2-678B-4A43-9E8D-3E81B28A711A}" type="parTrans" cxnId="{3923B330-9DA3-477A-90AD-89C4858340BD}">
      <dgm:prSet/>
      <dgm:spPr/>
      <dgm:t>
        <a:bodyPr/>
        <a:lstStyle/>
        <a:p>
          <a:endParaRPr lang="en-IN"/>
        </a:p>
      </dgm:t>
    </dgm:pt>
    <dgm:pt modelId="{B968F0F0-1C29-48BD-ADF9-518B33C3773D}" type="sibTrans" cxnId="{3923B330-9DA3-477A-90AD-89C4858340BD}">
      <dgm:prSet/>
      <dgm:spPr/>
      <dgm:t>
        <a:bodyPr/>
        <a:lstStyle/>
        <a:p>
          <a:endParaRPr lang="en-IN"/>
        </a:p>
      </dgm:t>
    </dgm:pt>
    <dgm:pt modelId="{0DE59E23-7432-4828-9F4E-15BEC6C9DAAB}">
      <dgm:prSet phldrT="[Text]" custT="1"/>
      <dgm:spPr/>
      <dgm:t>
        <a:bodyPr/>
        <a:lstStyle/>
        <a:p>
          <a:r>
            <a:rPr lang="en-IN" sz="1400" b="1"/>
            <a:t>DOES</a:t>
          </a:r>
        </a:p>
        <a:p>
          <a:r>
            <a:rPr lang="en-IN" sz="1000"/>
            <a:t>Crude oil price fluctuations have a far reaching impact on global economies. Price forecasts are very important to stakeholders. Thus crude oil price prediction can assist in minimising the risks associated with volatility in oil prices.</a:t>
          </a:r>
        </a:p>
      </dgm:t>
    </dgm:pt>
    <dgm:pt modelId="{9B70CD9D-7BAD-4ED3-BA1F-F7C9E1A7AA16}" type="parTrans" cxnId="{6C8F7C4E-4571-4163-88FC-5C332AA8588D}">
      <dgm:prSet/>
      <dgm:spPr/>
      <dgm:t>
        <a:bodyPr/>
        <a:lstStyle/>
        <a:p>
          <a:endParaRPr lang="en-IN"/>
        </a:p>
      </dgm:t>
    </dgm:pt>
    <dgm:pt modelId="{93D068A0-AAE4-46C9-B115-5F4AEA441666}" type="sibTrans" cxnId="{6C8F7C4E-4571-4163-88FC-5C332AA8588D}">
      <dgm:prSet/>
      <dgm:spPr/>
      <dgm:t>
        <a:bodyPr/>
        <a:lstStyle/>
        <a:p>
          <a:endParaRPr lang="en-IN"/>
        </a:p>
      </dgm:t>
    </dgm:pt>
    <dgm:pt modelId="{55538198-F237-451F-BEE6-5DB12DC7537B}">
      <dgm:prSet phldrT="[Text]" custT="1"/>
      <dgm:spPr/>
      <dgm:t>
        <a:bodyPr/>
        <a:lstStyle/>
        <a:p>
          <a:r>
            <a:rPr lang="en-IN" sz="1400" b="1"/>
            <a:t>SAY</a:t>
          </a:r>
        </a:p>
        <a:p>
          <a:r>
            <a:rPr lang="en-IN" sz="1000" b="0"/>
            <a:t>Crude oil price prediction </a:t>
          </a:r>
          <a:r>
            <a:rPr lang="en-IN" sz="1000" b="0" i="0"/>
            <a:t>can capture the changing pattern of oil prices. </a:t>
          </a:r>
          <a:r>
            <a:rPr lang="en-IN" sz="1000" b="0"/>
            <a:t>Crude oil price prediction will be more</a:t>
          </a:r>
          <a:r>
            <a:rPr lang="en-IN" sz="1000" b="0" i="0"/>
            <a:t> helpful for various stakeholders such as governments, public and private enterprises, policymakers, and investors.</a:t>
          </a:r>
          <a:endParaRPr lang="en-IN" sz="1000"/>
        </a:p>
      </dgm:t>
    </dgm:pt>
    <dgm:pt modelId="{4C8C6695-AB1A-4B88-B0C1-678D191F10A3}" type="parTrans" cxnId="{2F53C361-A563-4382-ABEA-754EA93533D4}">
      <dgm:prSet/>
      <dgm:spPr/>
      <dgm:t>
        <a:bodyPr/>
        <a:lstStyle/>
        <a:p>
          <a:endParaRPr lang="en-IN"/>
        </a:p>
      </dgm:t>
    </dgm:pt>
    <dgm:pt modelId="{8F2761EF-366C-4345-8CEE-0E9C22A01C2A}" type="sibTrans" cxnId="{2F53C361-A563-4382-ABEA-754EA93533D4}">
      <dgm:prSet/>
      <dgm:spPr/>
      <dgm:t>
        <a:bodyPr/>
        <a:lstStyle/>
        <a:p>
          <a:endParaRPr lang="en-IN"/>
        </a:p>
      </dgm:t>
    </dgm:pt>
    <dgm:pt modelId="{581262A1-762E-492B-92CF-A3154955B316}">
      <dgm:prSet phldrT="[Text]" custT="1"/>
      <dgm:spPr/>
      <dgm:t>
        <a:bodyPr/>
        <a:lstStyle/>
        <a:p>
          <a:r>
            <a:rPr lang="en-IN" sz="1400" b="1"/>
            <a:t>THINK</a:t>
          </a:r>
        </a:p>
        <a:p>
          <a:r>
            <a:rPr lang="en-IN" sz="1000" b="0" i="0"/>
            <a:t>Crude oil price deviation have a far reaching impact on global economies.The price of crude oil is affected by many other factors. The price of crude oil should be easily predictable from the equilibrium between demand and supply.</a:t>
          </a:r>
        </a:p>
        <a:p>
          <a:endParaRPr lang="en-IN" sz="800" b="0" i="0"/>
        </a:p>
        <a:p>
          <a:endParaRPr lang="en-IN" sz="800" b="0" i="0"/>
        </a:p>
        <a:p>
          <a:endParaRPr lang="en-IN" sz="800"/>
        </a:p>
      </dgm:t>
    </dgm:pt>
    <dgm:pt modelId="{E7B5B367-9770-412F-AE04-A5BCE30335F9}" type="parTrans" cxnId="{03330D00-AD8D-4A08-B89B-7BE0620D5374}">
      <dgm:prSet/>
      <dgm:spPr/>
      <dgm:t>
        <a:bodyPr/>
        <a:lstStyle/>
        <a:p>
          <a:endParaRPr lang="en-IN"/>
        </a:p>
      </dgm:t>
    </dgm:pt>
    <dgm:pt modelId="{868541F4-DB88-403E-9E9B-AB170E68410C}" type="sibTrans" cxnId="{03330D00-AD8D-4A08-B89B-7BE0620D5374}">
      <dgm:prSet/>
      <dgm:spPr/>
      <dgm:t>
        <a:bodyPr/>
        <a:lstStyle/>
        <a:p>
          <a:endParaRPr lang="en-IN"/>
        </a:p>
      </dgm:t>
    </dgm:pt>
    <dgm:pt modelId="{5DBBABB6-2802-4067-9CDE-824ACA59AAF2}">
      <dgm:prSet phldrT="[Text]" custT="1"/>
      <dgm:spPr/>
      <dgm:t>
        <a:bodyPr/>
        <a:lstStyle/>
        <a:p>
          <a:r>
            <a:rPr lang="en-IN" sz="1400" b="1"/>
            <a:t>FEEL </a:t>
          </a:r>
        </a:p>
        <a:p>
          <a:r>
            <a:rPr lang="en-IN" sz="1000" b="0" i="0"/>
            <a:t>This will be helpful for various stakeholders as the price of crude oil influences the costs of other production and manufacturing across the world. A drop in fuel prices means lower transport costs and cheaper airline tickets.</a:t>
          </a:r>
        </a:p>
        <a:p>
          <a:endParaRPr lang="en-IN" sz="1000" b="0" i="0"/>
        </a:p>
        <a:p>
          <a:endParaRPr lang="en-IN" sz="800" b="0" i="0"/>
        </a:p>
        <a:p>
          <a:endParaRPr lang="en-IN" sz="800" b="0" i="0"/>
        </a:p>
      </dgm:t>
    </dgm:pt>
    <dgm:pt modelId="{FB01D546-62E6-430E-89A7-C2560B195606}" type="parTrans" cxnId="{44C3620A-0FEC-4980-A938-17858F6D0BE3}">
      <dgm:prSet/>
      <dgm:spPr/>
      <dgm:t>
        <a:bodyPr/>
        <a:lstStyle/>
        <a:p>
          <a:endParaRPr lang="en-IN"/>
        </a:p>
      </dgm:t>
    </dgm:pt>
    <dgm:pt modelId="{B224473D-850E-4A30-AB83-49F8E5CD0566}" type="sibTrans" cxnId="{44C3620A-0FEC-4980-A938-17858F6D0BE3}">
      <dgm:prSet/>
      <dgm:spPr/>
      <dgm:t>
        <a:bodyPr/>
        <a:lstStyle/>
        <a:p>
          <a:endParaRPr lang="en-IN"/>
        </a:p>
      </dgm:t>
    </dgm:pt>
    <dgm:pt modelId="{A3F40425-6865-4D04-B808-FE8348E0AE5F}" type="pres">
      <dgm:prSet presAssocID="{F652C668-825E-4F0E-9C94-502F6BAAEA3F}" presName="diagram" presStyleCnt="0">
        <dgm:presLayoutVars>
          <dgm:chMax val="1"/>
          <dgm:dir/>
          <dgm:animLvl val="ctr"/>
          <dgm:resizeHandles val="exact"/>
        </dgm:presLayoutVars>
      </dgm:prSet>
      <dgm:spPr/>
    </dgm:pt>
    <dgm:pt modelId="{7EB4DA71-53A8-4A59-B809-24DE2CED9B13}" type="pres">
      <dgm:prSet presAssocID="{F652C668-825E-4F0E-9C94-502F6BAAEA3F}" presName="matrix" presStyleCnt="0"/>
      <dgm:spPr/>
    </dgm:pt>
    <dgm:pt modelId="{80957619-2DFF-4BC7-85A5-470B8AA837E9}" type="pres">
      <dgm:prSet presAssocID="{F652C668-825E-4F0E-9C94-502F6BAAEA3F}" presName="tile1" presStyleLbl="node1" presStyleIdx="0" presStyleCnt="4" custLinFactNeighborY="733"/>
      <dgm:spPr/>
    </dgm:pt>
    <dgm:pt modelId="{C8F41F0A-BF41-425E-8058-8C69DF7E8106}" type="pres">
      <dgm:prSet presAssocID="{F652C668-825E-4F0E-9C94-502F6BAAEA3F}" presName="tile1text" presStyleLbl="node1" presStyleIdx="0" presStyleCnt="4">
        <dgm:presLayoutVars>
          <dgm:chMax val="0"/>
          <dgm:chPref val="0"/>
          <dgm:bulletEnabled val="1"/>
        </dgm:presLayoutVars>
      </dgm:prSet>
      <dgm:spPr/>
    </dgm:pt>
    <dgm:pt modelId="{6543D458-6498-4988-8E0C-E84BA6FF0EBE}" type="pres">
      <dgm:prSet presAssocID="{F652C668-825E-4F0E-9C94-502F6BAAEA3F}" presName="tile2" presStyleLbl="node1" presStyleIdx="1" presStyleCnt="4"/>
      <dgm:spPr/>
    </dgm:pt>
    <dgm:pt modelId="{FDCF9F40-A834-41EE-8414-756249806FA5}" type="pres">
      <dgm:prSet presAssocID="{F652C668-825E-4F0E-9C94-502F6BAAEA3F}" presName="tile2text" presStyleLbl="node1" presStyleIdx="1" presStyleCnt="4">
        <dgm:presLayoutVars>
          <dgm:chMax val="0"/>
          <dgm:chPref val="0"/>
          <dgm:bulletEnabled val="1"/>
        </dgm:presLayoutVars>
      </dgm:prSet>
      <dgm:spPr/>
    </dgm:pt>
    <dgm:pt modelId="{52BB06CC-C172-4BD7-BC20-BD01A09C62D0}" type="pres">
      <dgm:prSet presAssocID="{F652C668-825E-4F0E-9C94-502F6BAAEA3F}" presName="tile3" presStyleLbl="node1" presStyleIdx="2" presStyleCnt="4"/>
      <dgm:spPr/>
    </dgm:pt>
    <dgm:pt modelId="{7B6A1113-F100-4F46-9B80-332ADC407CA8}" type="pres">
      <dgm:prSet presAssocID="{F652C668-825E-4F0E-9C94-502F6BAAEA3F}" presName="tile3text" presStyleLbl="node1" presStyleIdx="2" presStyleCnt="4">
        <dgm:presLayoutVars>
          <dgm:chMax val="0"/>
          <dgm:chPref val="0"/>
          <dgm:bulletEnabled val="1"/>
        </dgm:presLayoutVars>
      </dgm:prSet>
      <dgm:spPr/>
    </dgm:pt>
    <dgm:pt modelId="{EA39610C-5E79-4938-B83A-8F9E20156DEF}" type="pres">
      <dgm:prSet presAssocID="{F652C668-825E-4F0E-9C94-502F6BAAEA3F}" presName="tile4" presStyleLbl="node1" presStyleIdx="3" presStyleCnt="4"/>
      <dgm:spPr/>
    </dgm:pt>
    <dgm:pt modelId="{E50169B4-1197-4322-BCD2-B68AE71C6373}" type="pres">
      <dgm:prSet presAssocID="{F652C668-825E-4F0E-9C94-502F6BAAEA3F}" presName="tile4text" presStyleLbl="node1" presStyleIdx="3" presStyleCnt="4">
        <dgm:presLayoutVars>
          <dgm:chMax val="0"/>
          <dgm:chPref val="0"/>
          <dgm:bulletEnabled val="1"/>
        </dgm:presLayoutVars>
      </dgm:prSet>
      <dgm:spPr/>
    </dgm:pt>
    <dgm:pt modelId="{06B965A8-C363-43EF-803F-59F4109D2D37}" type="pres">
      <dgm:prSet presAssocID="{F652C668-825E-4F0E-9C94-502F6BAAEA3F}" presName="centerTile" presStyleLbl="fgShp" presStyleIdx="0" presStyleCnt="1" custScaleX="63726">
        <dgm:presLayoutVars>
          <dgm:chMax val="0"/>
          <dgm:chPref val="0"/>
        </dgm:presLayoutVars>
      </dgm:prSet>
      <dgm:spPr/>
    </dgm:pt>
  </dgm:ptLst>
  <dgm:cxnLst>
    <dgm:cxn modelId="{03330D00-AD8D-4A08-B89B-7BE0620D5374}" srcId="{0BF7AEEB-2C1C-4511-AC65-42A8CD85FEFE}" destId="{581262A1-762E-492B-92CF-A3154955B316}" srcOrd="2" destOrd="0" parTransId="{E7B5B367-9770-412F-AE04-A5BCE30335F9}" sibTransId="{868541F4-DB88-403E-9E9B-AB170E68410C}"/>
    <dgm:cxn modelId="{E3A13103-AB9F-42D2-9FD9-4D7CFC3B13B1}" type="presOf" srcId="{581262A1-762E-492B-92CF-A3154955B316}" destId="{52BB06CC-C172-4BD7-BC20-BD01A09C62D0}" srcOrd="0" destOrd="0" presId="urn:microsoft.com/office/officeart/2005/8/layout/matrix1"/>
    <dgm:cxn modelId="{44C3620A-0FEC-4980-A938-17858F6D0BE3}" srcId="{0BF7AEEB-2C1C-4511-AC65-42A8CD85FEFE}" destId="{5DBBABB6-2802-4067-9CDE-824ACA59AAF2}" srcOrd="3" destOrd="0" parTransId="{FB01D546-62E6-430E-89A7-C2560B195606}" sibTransId="{B224473D-850E-4A30-AB83-49F8E5CD0566}"/>
    <dgm:cxn modelId="{3923B330-9DA3-477A-90AD-89C4858340BD}" srcId="{F652C668-825E-4F0E-9C94-502F6BAAEA3F}" destId="{0BF7AEEB-2C1C-4511-AC65-42A8CD85FEFE}" srcOrd="0" destOrd="0" parTransId="{55AD17A2-678B-4A43-9E8D-3E81B28A711A}" sibTransId="{B968F0F0-1C29-48BD-ADF9-518B33C3773D}"/>
    <dgm:cxn modelId="{B3267635-9C07-4F1D-B457-01BC80FE7B49}" type="presOf" srcId="{0DE59E23-7432-4828-9F4E-15BEC6C9DAAB}" destId="{C8F41F0A-BF41-425E-8058-8C69DF7E8106}" srcOrd="1" destOrd="0" presId="urn:microsoft.com/office/officeart/2005/8/layout/matrix1"/>
    <dgm:cxn modelId="{5F2D615B-6AB7-4E0A-A390-1D50E3894674}" type="presOf" srcId="{581262A1-762E-492B-92CF-A3154955B316}" destId="{7B6A1113-F100-4F46-9B80-332ADC407CA8}" srcOrd="1" destOrd="0" presId="urn:microsoft.com/office/officeart/2005/8/layout/matrix1"/>
    <dgm:cxn modelId="{2F53C361-A563-4382-ABEA-754EA93533D4}" srcId="{0BF7AEEB-2C1C-4511-AC65-42A8CD85FEFE}" destId="{55538198-F237-451F-BEE6-5DB12DC7537B}" srcOrd="1" destOrd="0" parTransId="{4C8C6695-AB1A-4B88-B0C1-678D191F10A3}" sibTransId="{8F2761EF-366C-4345-8CEE-0E9C22A01C2A}"/>
    <dgm:cxn modelId="{6C8F7C4E-4571-4163-88FC-5C332AA8588D}" srcId="{0BF7AEEB-2C1C-4511-AC65-42A8CD85FEFE}" destId="{0DE59E23-7432-4828-9F4E-15BEC6C9DAAB}" srcOrd="0" destOrd="0" parTransId="{9B70CD9D-7BAD-4ED3-BA1F-F7C9E1A7AA16}" sibTransId="{93D068A0-AAE4-46C9-B115-5F4AEA441666}"/>
    <dgm:cxn modelId="{4415DDB6-AB55-4C7A-A1B7-3ACA14F1F2A5}" type="presOf" srcId="{55538198-F237-451F-BEE6-5DB12DC7537B}" destId="{6543D458-6498-4988-8E0C-E84BA6FF0EBE}" srcOrd="0" destOrd="0" presId="urn:microsoft.com/office/officeart/2005/8/layout/matrix1"/>
    <dgm:cxn modelId="{C9209DBC-91A7-4D9D-89F8-C61050F87A7F}" type="presOf" srcId="{0DE59E23-7432-4828-9F4E-15BEC6C9DAAB}" destId="{80957619-2DFF-4BC7-85A5-470B8AA837E9}" srcOrd="0" destOrd="0" presId="urn:microsoft.com/office/officeart/2005/8/layout/matrix1"/>
    <dgm:cxn modelId="{240267C7-D502-4F40-AEA5-BDCF0DA37414}" type="presOf" srcId="{F652C668-825E-4F0E-9C94-502F6BAAEA3F}" destId="{A3F40425-6865-4D04-B808-FE8348E0AE5F}" srcOrd="0" destOrd="0" presId="urn:microsoft.com/office/officeart/2005/8/layout/matrix1"/>
    <dgm:cxn modelId="{C26CA8C9-26DA-47D3-8F7C-8A90F525919C}" type="presOf" srcId="{5DBBABB6-2802-4067-9CDE-824ACA59AAF2}" destId="{EA39610C-5E79-4938-B83A-8F9E20156DEF}" srcOrd="0" destOrd="0" presId="urn:microsoft.com/office/officeart/2005/8/layout/matrix1"/>
    <dgm:cxn modelId="{C63783E3-153D-4D79-8021-8D23C3AB5FB0}" type="presOf" srcId="{55538198-F237-451F-BEE6-5DB12DC7537B}" destId="{FDCF9F40-A834-41EE-8414-756249806FA5}" srcOrd="1" destOrd="0" presId="urn:microsoft.com/office/officeart/2005/8/layout/matrix1"/>
    <dgm:cxn modelId="{40DEFFE6-F32D-45CF-9871-9B38BD6368AF}" type="presOf" srcId="{5DBBABB6-2802-4067-9CDE-824ACA59AAF2}" destId="{E50169B4-1197-4322-BCD2-B68AE71C6373}" srcOrd="1" destOrd="0" presId="urn:microsoft.com/office/officeart/2005/8/layout/matrix1"/>
    <dgm:cxn modelId="{0307ECFB-050F-46ED-B834-5665043149E7}" type="presOf" srcId="{0BF7AEEB-2C1C-4511-AC65-42A8CD85FEFE}" destId="{06B965A8-C363-43EF-803F-59F4109D2D37}" srcOrd="0" destOrd="0" presId="urn:microsoft.com/office/officeart/2005/8/layout/matrix1"/>
    <dgm:cxn modelId="{D38160C5-9D68-4A7F-95E7-18BC0815CEE2}" type="presParOf" srcId="{A3F40425-6865-4D04-B808-FE8348E0AE5F}" destId="{7EB4DA71-53A8-4A59-B809-24DE2CED9B13}" srcOrd="0" destOrd="0" presId="urn:microsoft.com/office/officeart/2005/8/layout/matrix1"/>
    <dgm:cxn modelId="{2E8A56E2-A56F-4543-AA94-73471411C84F}" type="presParOf" srcId="{7EB4DA71-53A8-4A59-B809-24DE2CED9B13}" destId="{80957619-2DFF-4BC7-85A5-470B8AA837E9}" srcOrd="0" destOrd="0" presId="urn:microsoft.com/office/officeart/2005/8/layout/matrix1"/>
    <dgm:cxn modelId="{2E911D81-50C2-4B3C-AAE3-1C3AEADD4D54}" type="presParOf" srcId="{7EB4DA71-53A8-4A59-B809-24DE2CED9B13}" destId="{C8F41F0A-BF41-425E-8058-8C69DF7E8106}" srcOrd="1" destOrd="0" presId="urn:microsoft.com/office/officeart/2005/8/layout/matrix1"/>
    <dgm:cxn modelId="{50095A50-8670-4B4C-9838-76AADF4571C7}" type="presParOf" srcId="{7EB4DA71-53A8-4A59-B809-24DE2CED9B13}" destId="{6543D458-6498-4988-8E0C-E84BA6FF0EBE}" srcOrd="2" destOrd="0" presId="urn:microsoft.com/office/officeart/2005/8/layout/matrix1"/>
    <dgm:cxn modelId="{308BE0E3-902B-466F-A71A-7802A318DE0D}" type="presParOf" srcId="{7EB4DA71-53A8-4A59-B809-24DE2CED9B13}" destId="{FDCF9F40-A834-41EE-8414-756249806FA5}" srcOrd="3" destOrd="0" presId="urn:microsoft.com/office/officeart/2005/8/layout/matrix1"/>
    <dgm:cxn modelId="{CE6D385D-B15B-4544-8E8C-FDDF9388E011}" type="presParOf" srcId="{7EB4DA71-53A8-4A59-B809-24DE2CED9B13}" destId="{52BB06CC-C172-4BD7-BC20-BD01A09C62D0}" srcOrd="4" destOrd="0" presId="urn:microsoft.com/office/officeart/2005/8/layout/matrix1"/>
    <dgm:cxn modelId="{7A921B65-A5CC-4961-8BA4-9412464F1450}" type="presParOf" srcId="{7EB4DA71-53A8-4A59-B809-24DE2CED9B13}" destId="{7B6A1113-F100-4F46-9B80-332ADC407CA8}" srcOrd="5" destOrd="0" presId="urn:microsoft.com/office/officeart/2005/8/layout/matrix1"/>
    <dgm:cxn modelId="{16193AA2-0976-49B0-A4F6-534C25EC276B}" type="presParOf" srcId="{7EB4DA71-53A8-4A59-B809-24DE2CED9B13}" destId="{EA39610C-5E79-4938-B83A-8F9E20156DEF}" srcOrd="6" destOrd="0" presId="urn:microsoft.com/office/officeart/2005/8/layout/matrix1"/>
    <dgm:cxn modelId="{6BFC7B9B-4B11-406B-A9AD-FA5D3FD90948}" type="presParOf" srcId="{7EB4DA71-53A8-4A59-B809-24DE2CED9B13}" destId="{E50169B4-1197-4322-BCD2-B68AE71C6373}" srcOrd="7" destOrd="0" presId="urn:microsoft.com/office/officeart/2005/8/layout/matrix1"/>
    <dgm:cxn modelId="{19D63540-3BA1-4BCE-8D4D-0527821B90DA}" type="presParOf" srcId="{A3F40425-6865-4D04-B808-FE8348E0AE5F}" destId="{06B965A8-C363-43EF-803F-59F4109D2D37}" srcOrd="1" destOrd="0" presId="urn:microsoft.com/office/officeart/2005/8/layout/matrix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957619-2DFF-4BC7-85A5-470B8AA837E9}">
      <dsp:nvSpPr>
        <dsp:cNvPr id="0" name=""/>
        <dsp:cNvSpPr/>
      </dsp:nvSpPr>
      <dsp:spPr>
        <a:xfrm rot="16200000">
          <a:off x="571500" y="-559770"/>
          <a:ext cx="1600200" cy="2743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DOES</a:t>
          </a:r>
        </a:p>
        <a:p>
          <a:pPr marL="0" lvl="0" indent="0" algn="ctr" defTabSz="622300">
            <a:lnSpc>
              <a:spcPct val="90000"/>
            </a:lnSpc>
            <a:spcBef>
              <a:spcPct val="0"/>
            </a:spcBef>
            <a:spcAft>
              <a:spcPct val="35000"/>
            </a:spcAft>
            <a:buNone/>
          </a:pPr>
          <a:r>
            <a:rPr lang="en-IN" sz="1000" kern="1200"/>
            <a:t>Crude oil price fluctuations have a far reaching impact on global economies. Price forecasts are very important to stakeholders. Thus crude oil price prediction can assist in minimising the risks associated with volatility in oil prices.</a:t>
          </a:r>
        </a:p>
      </dsp:txBody>
      <dsp:txXfrm rot="5400000">
        <a:off x="-1" y="11730"/>
        <a:ext cx="2743200" cy="1200150"/>
      </dsp:txXfrm>
    </dsp:sp>
    <dsp:sp modelId="{6543D458-6498-4988-8E0C-E84BA6FF0EBE}">
      <dsp:nvSpPr>
        <dsp:cNvPr id="0" name=""/>
        <dsp:cNvSpPr/>
      </dsp:nvSpPr>
      <dsp:spPr>
        <a:xfrm>
          <a:off x="2743200" y="0"/>
          <a:ext cx="2743200" cy="1600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SAY</a:t>
          </a:r>
        </a:p>
        <a:p>
          <a:pPr marL="0" lvl="0" indent="0" algn="ctr" defTabSz="622300">
            <a:lnSpc>
              <a:spcPct val="90000"/>
            </a:lnSpc>
            <a:spcBef>
              <a:spcPct val="0"/>
            </a:spcBef>
            <a:spcAft>
              <a:spcPct val="35000"/>
            </a:spcAft>
            <a:buNone/>
          </a:pPr>
          <a:r>
            <a:rPr lang="en-IN" sz="1000" b="0" kern="1200"/>
            <a:t>Crude oil price prediction </a:t>
          </a:r>
          <a:r>
            <a:rPr lang="en-IN" sz="1000" b="0" i="0" kern="1200"/>
            <a:t>can capture the changing pattern of oil prices. </a:t>
          </a:r>
          <a:r>
            <a:rPr lang="en-IN" sz="1000" b="0" kern="1200"/>
            <a:t>Crude oil price prediction will be more</a:t>
          </a:r>
          <a:r>
            <a:rPr lang="en-IN" sz="1000" b="0" i="0" kern="1200"/>
            <a:t> helpful for various stakeholders such as governments, public and private enterprises, policymakers, and investors.</a:t>
          </a:r>
          <a:endParaRPr lang="en-IN" sz="1000" kern="1200"/>
        </a:p>
      </dsp:txBody>
      <dsp:txXfrm>
        <a:off x="2743200" y="0"/>
        <a:ext cx="2743200" cy="1200150"/>
      </dsp:txXfrm>
    </dsp:sp>
    <dsp:sp modelId="{52BB06CC-C172-4BD7-BC20-BD01A09C62D0}">
      <dsp:nvSpPr>
        <dsp:cNvPr id="0" name=""/>
        <dsp:cNvSpPr/>
      </dsp:nvSpPr>
      <dsp:spPr>
        <a:xfrm rot="10800000">
          <a:off x="0" y="1600200"/>
          <a:ext cx="2743200" cy="1600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THINK</a:t>
          </a:r>
        </a:p>
        <a:p>
          <a:pPr marL="0" lvl="0" indent="0" algn="ctr" defTabSz="622300">
            <a:lnSpc>
              <a:spcPct val="90000"/>
            </a:lnSpc>
            <a:spcBef>
              <a:spcPct val="0"/>
            </a:spcBef>
            <a:spcAft>
              <a:spcPct val="35000"/>
            </a:spcAft>
            <a:buNone/>
          </a:pPr>
          <a:r>
            <a:rPr lang="en-IN" sz="1000" b="0" i="0" kern="1200"/>
            <a:t>Crude oil price deviation have a far reaching impact on global economies.The price of crude oil is affected by many other factors. The price of crude oil should be easily predictable from the equilibrium between demand and supply.</a:t>
          </a:r>
        </a:p>
        <a:p>
          <a:pPr marL="0" lvl="0" indent="0" algn="ctr" defTabSz="622300">
            <a:lnSpc>
              <a:spcPct val="90000"/>
            </a:lnSpc>
            <a:spcBef>
              <a:spcPct val="0"/>
            </a:spcBef>
            <a:spcAft>
              <a:spcPct val="35000"/>
            </a:spcAft>
            <a:buNone/>
          </a:pPr>
          <a:endParaRPr lang="en-IN" sz="800" b="0" i="0" kern="1200"/>
        </a:p>
        <a:p>
          <a:pPr marL="0" lvl="0" indent="0" algn="ctr" defTabSz="622300">
            <a:lnSpc>
              <a:spcPct val="90000"/>
            </a:lnSpc>
            <a:spcBef>
              <a:spcPct val="0"/>
            </a:spcBef>
            <a:spcAft>
              <a:spcPct val="35000"/>
            </a:spcAft>
            <a:buNone/>
          </a:pPr>
          <a:endParaRPr lang="en-IN" sz="800" b="0" i="0" kern="1200"/>
        </a:p>
        <a:p>
          <a:pPr marL="0" lvl="0" indent="0" algn="ctr" defTabSz="622300">
            <a:lnSpc>
              <a:spcPct val="90000"/>
            </a:lnSpc>
            <a:spcBef>
              <a:spcPct val="0"/>
            </a:spcBef>
            <a:spcAft>
              <a:spcPct val="35000"/>
            </a:spcAft>
            <a:buNone/>
          </a:pPr>
          <a:endParaRPr lang="en-IN" sz="800" kern="1200"/>
        </a:p>
      </dsp:txBody>
      <dsp:txXfrm rot="10800000">
        <a:off x="0" y="2000250"/>
        <a:ext cx="2743200" cy="1200150"/>
      </dsp:txXfrm>
    </dsp:sp>
    <dsp:sp modelId="{EA39610C-5E79-4938-B83A-8F9E20156DEF}">
      <dsp:nvSpPr>
        <dsp:cNvPr id="0" name=""/>
        <dsp:cNvSpPr/>
      </dsp:nvSpPr>
      <dsp:spPr>
        <a:xfrm rot="5400000">
          <a:off x="3314700" y="1028700"/>
          <a:ext cx="1600200" cy="2743200"/>
        </a:xfrm>
        <a:prstGeom prst="round1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FEEL </a:t>
          </a:r>
        </a:p>
        <a:p>
          <a:pPr marL="0" lvl="0" indent="0" algn="ctr" defTabSz="622300">
            <a:lnSpc>
              <a:spcPct val="90000"/>
            </a:lnSpc>
            <a:spcBef>
              <a:spcPct val="0"/>
            </a:spcBef>
            <a:spcAft>
              <a:spcPct val="35000"/>
            </a:spcAft>
            <a:buNone/>
          </a:pPr>
          <a:r>
            <a:rPr lang="en-IN" sz="1000" b="0" i="0" kern="1200"/>
            <a:t>This will be helpful for various stakeholders as the price of crude oil influences the costs of other production and manufacturing across the world. A drop in fuel prices means lower transport costs and cheaper airline tickets.</a:t>
          </a:r>
        </a:p>
        <a:p>
          <a:pPr marL="0" lvl="0" indent="0" algn="ctr" defTabSz="622300">
            <a:lnSpc>
              <a:spcPct val="90000"/>
            </a:lnSpc>
            <a:spcBef>
              <a:spcPct val="0"/>
            </a:spcBef>
            <a:spcAft>
              <a:spcPct val="35000"/>
            </a:spcAft>
            <a:buNone/>
          </a:pPr>
          <a:endParaRPr lang="en-IN" sz="1000" b="0" i="0" kern="1200"/>
        </a:p>
        <a:p>
          <a:pPr marL="0" lvl="0" indent="0" algn="ctr" defTabSz="622300">
            <a:lnSpc>
              <a:spcPct val="90000"/>
            </a:lnSpc>
            <a:spcBef>
              <a:spcPct val="0"/>
            </a:spcBef>
            <a:spcAft>
              <a:spcPct val="35000"/>
            </a:spcAft>
            <a:buNone/>
          </a:pPr>
          <a:endParaRPr lang="en-IN" sz="800" b="0" i="0" kern="1200"/>
        </a:p>
        <a:p>
          <a:pPr marL="0" lvl="0" indent="0" algn="ctr" defTabSz="622300">
            <a:lnSpc>
              <a:spcPct val="90000"/>
            </a:lnSpc>
            <a:spcBef>
              <a:spcPct val="0"/>
            </a:spcBef>
            <a:spcAft>
              <a:spcPct val="35000"/>
            </a:spcAft>
            <a:buNone/>
          </a:pPr>
          <a:endParaRPr lang="en-IN" sz="800" b="0" i="0" kern="1200"/>
        </a:p>
      </dsp:txBody>
      <dsp:txXfrm rot="-5400000">
        <a:off x="2743200" y="2000250"/>
        <a:ext cx="2743200" cy="1200150"/>
      </dsp:txXfrm>
    </dsp:sp>
    <dsp:sp modelId="{06B965A8-C363-43EF-803F-59F4109D2D37}">
      <dsp:nvSpPr>
        <dsp:cNvPr id="0" name=""/>
        <dsp:cNvSpPr/>
      </dsp:nvSpPr>
      <dsp:spPr>
        <a:xfrm>
          <a:off x="2218760" y="1200150"/>
          <a:ext cx="1048878" cy="800100"/>
        </a:xfrm>
        <a:prstGeom prst="roundRect">
          <a:avLst/>
        </a:prstGeom>
        <a:solidFill>
          <a:schemeClr val="dk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endParaRPr lang="en-IN" sz="2600" kern="1200"/>
        </a:p>
      </dsp:txBody>
      <dsp:txXfrm>
        <a:off x="2257818" y="1239208"/>
        <a:ext cx="970762"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cp:revision>
  <dcterms:created xsi:type="dcterms:W3CDTF">2022-09-20T05:50:00Z</dcterms:created>
  <dcterms:modified xsi:type="dcterms:W3CDTF">2022-09-20T09:04:00Z</dcterms:modified>
</cp:coreProperties>
</file>