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PNT2022TMID32596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 based Safety Gadget for child  safety monitoring &amp; Notification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320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tabs>
                <w:tab w:val="left" w:pos="2320"/>
              </w:tabs>
              <w:ind w:left="644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Web UI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HTML, CSS, JavaScript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tabs>
                <w:tab w:val="left" w:pos="2320"/>
              </w:tabs>
              <w:ind w:left="644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Storing Location in IBM Cloud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tabs>
                <w:tab w:val="left" w:pos="2320"/>
              </w:tabs>
              <w:ind w:left="644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Showing the location in the Web UI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HTML / CSS /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tabs>
                <w:tab w:val="left" w:pos="2320"/>
              </w:tabs>
              <w:ind w:left="644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Making Geo fence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NodeRed ,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pos="2320"/>
              </w:tabs>
              <w:ind w:left="644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Object 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NoSQL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pos="2320"/>
              </w:tabs>
              <w:ind w:left="644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IBM Cloudant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pos="2320"/>
              </w:tabs>
              <w:ind w:left="644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pos="2320"/>
              </w:tabs>
              <w:ind w:left="644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31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32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Python (Local) / IBM cloud(Cloudant)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Technology Stack Diagram: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733283" cy="4345266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3283" cy="4345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fl0EgnyNJsJMnYd0mdsLDQJ4DA==">AMUW2mWghDrFUgMbGAMA4cR01AihHYsobXGdseIdBJUSRyj//cVBHQT+w7JtPJbAYrLJT0VGTw/PutzqTxSuuXJHlphRTgztgmgfeFQsHfLMRivqNsiXRAs=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