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EBB436" w:rsidR="000708AF" w:rsidRPr="00AB20AC" w:rsidRDefault="00F177C6" w:rsidP="000708AF">
            <w:pPr>
              <w:rPr>
                <w:rFonts w:cstheme="minorHAnsi"/>
              </w:rPr>
            </w:pPr>
            <w:r w:rsidRPr="00F177C6">
              <w:rPr>
                <w:rFonts w:cstheme="minorHAnsi"/>
              </w:rPr>
              <w:t>PNT2022TMID53936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067DF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177C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177C6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6A73DAB4" w:rsidR="009067B1" w:rsidRPr="009067B1" w:rsidRDefault="00F177C6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77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complicated process with numerous sub-processes, solution architecture connects business issues with technological solutions. Its objectives are to:</w:t>
      </w:r>
    </w:p>
    <w:p w14:paraId="269C0507" w14:textId="4F6925D6" w:rsidR="00F177C6" w:rsidRDefault="00F177C6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77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the LSTM technique to identify the best technological solution to address current issues in businesses.</w:t>
      </w:r>
    </w:p>
    <w:p w14:paraId="3ABCABB9" w14:textId="64A9726C" w:rsidR="00F177C6" w:rsidRDefault="00F177C6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77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Explain the software's layout, traits, behaviour, and other features in order to anticipate crude oil prices more precisely.</w:t>
      </w:r>
    </w:p>
    <w:p w14:paraId="3BF40834" w14:textId="414E424F" w:rsidR="009067B1" w:rsidRPr="009067B1" w:rsidRDefault="00F177C6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77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Offer guidelines for how the solution will be developed, managed, and delivered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2529A20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C7EA3C2" w:rsidR="000F0ECD" w:rsidRDefault="00F177C6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15D3B72" wp14:editId="39402B99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162_2021_166_Fig1_HTML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53C20A86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F177C6">
        <w:rPr>
          <w:rStyle w:val="Emphasis"/>
          <w:rFonts w:ascii="Helvetica" w:hAnsi="Helvetica" w:cs="Helvetica"/>
          <w:color w:val="333333"/>
          <w:sz w:val="21"/>
          <w:szCs w:val="21"/>
        </w:rPr>
        <w:t>crude oil price prediction algorithm.</w:t>
      </w:r>
      <w:bookmarkStart w:id="0" w:name="_GoBack"/>
      <w:bookmarkEnd w:id="0"/>
    </w:p>
    <w:p w14:paraId="5AE6E0F1" w14:textId="1E3C45A9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="00F177C6" w:rsidRPr="00124CA7">
          <w:rPr>
            <w:rStyle w:val="Hyperlink"/>
            <w:rFonts w:cstheme="minorHAnsi"/>
            <w:b/>
            <w:bCs/>
          </w:rPr>
          <w:t>https://energyinformatics.springeropen.com/articles/10.1186/s42162-021-00166-4</w:t>
        </w:r>
      </w:hyperlink>
    </w:p>
    <w:p w14:paraId="7B20F198" w14:textId="77777777" w:rsidR="00F177C6" w:rsidRDefault="00F177C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177C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yinformatics.springeropen.com/articles/10.1186/s42162-021-00166-4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</cp:lastModifiedBy>
  <cp:revision>3</cp:revision>
  <dcterms:created xsi:type="dcterms:W3CDTF">2022-10-03T08:27:00Z</dcterms:created>
  <dcterms:modified xsi:type="dcterms:W3CDTF">2022-10-19T06:44:00Z</dcterms:modified>
</cp:coreProperties>
</file>