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IBM-EPBL/IBM-Project-20074-1659711991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95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AjfNexbkId8I3CWWXxsnK3cHw==">AMUW2mVk4JlBKgE6WmIB5cWZ+lEvd/sc59Mzj9puQN0+h7V2Mho8WyxrW1tQKQQQ8kNw0kwE0NmJP2YY4m6eaYBCYU3IrazpmPolkr4RQYSNu09RGmXg3dw=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