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PNT2022TMID27307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elvetica" w:hAnsi="Helvetica" w:cs="Helvetica" w:eastAsia="Helvetica"/>
                <w:i/>
                <w:color w:val="333333"/>
                <w:spacing w:val="0"/>
                <w:position w:val="0"/>
                <w:sz w:val="21"/>
                <w:shd w:fill="auto" w:val="clear"/>
              </w:rPr>
              <w:t xml:space="preserve">Personal expense tracker 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with many sub-processes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that bridges the gap between business problems and technology solutions. Its goals are to: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5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529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675">
          <v:rect xmlns:o="urn:schemas-microsoft-com:office:office" xmlns:v="urn:schemas-microsoft-com:vml" id="rectole0000000000" style="width:432.000000pt;height:33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55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i/>
          <w:color w:val="333333"/>
          <w:spacing w:val="0"/>
          <w:position w:val="0"/>
          <w:sz w:val="21"/>
          <w:shd w:fill="auto" w:val="clear"/>
        </w:rPr>
        <w:t xml:space="preserve">Figure 1: Architecture and data flow of the Personal expense tracker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https://aws.amazon.com/blogs/industries/voice-applications-in-clinical-research-powered-by-ai-on-aws-part-1-architecture-and-design-considerations/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aws.amazon.com/blogs/industries/voice-applications-in-clinical-research-powered-by-ai-on-aws-part-1-architecture-and-design-considerations/" Id="docRId2" Type="http://schemas.openxmlformats.org/officeDocument/2006/relationships/hyperlink" /><Relationship Target="styles.xml" Id="docRId4" Type="http://schemas.openxmlformats.org/officeDocument/2006/relationships/styles" /></Relationships>
</file>