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Project Design Phase-I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Solution Architecture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420"/>
        <w:tblGridChange w:id="0">
          <w:tblGrid>
            <w:gridCol w:w="2940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IoT Based Smart Crop Protection System for Agriculture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PNT2022TMID03994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November 2022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6"/>
          <w:szCs w:val="26"/>
          <w:rtl w:val="0"/>
        </w:rPr>
        <w:t xml:space="preserve">Solution architecture represents the block diagram and features of the prototype which acts as a pictorial representation of the overall business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407853" cy="301591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7853" cy="3015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/>
        <w:drawing>
          <wp:inline distB="114300" distT="114300" distL="114300" distR="114300">
            <wp:extent cx="4010025" cy="231527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15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