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PNT2022TMID22591</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News Tracker Application</w:t>
            </w:r>
          </w:p>
        </w:tc>
      </w:tr>
    </w:tbl>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Pr>
        <w:drawing>
          <wp:inline distB="0" distT="0" distL="0" distR="0">
            <wp:extent cx="5731510" cy="114490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11449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FdLRlJweQyzdYQujsSzUAWg2Ew==">AMUW2mVh8upTRimslQatwkaqXRcnIzOek1s71i3EfdvOxmJm0DsqOzKkrsVjTqC0e8rmwCbYfmgvDqaHXq0cSLvtR2AJjYo04hAErOzPA91D/98kjoG5rIA=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