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51A" w14:textId="77777777" w:rsidR="00F43CB7" w:rsidRDefault="00F43CB7">
      <w:pPr>
        <w:pStyle w:val="BodyText"/>
        <w:spacing w:before="3"/>
        <w:rPr>
          <w:rFonts w:ascii="Times New Roman"/>
          <w:b w:val="0"/>
          <w:sz w:val="21"/>
        </w:rPr>
      </w:pPr>
    </w:p>
    <w:p w14:paraId="304863BD" w14:textId="77777777" w:rsidR="00F43CB7" w:rsidRDefault="00F43CB7">
      <w:pPr>
        <w:rPr>
          <w:rFonts w:ascii="Times New Roman"/>
          <w:sz w:val="21"/>
        </w:rPr>
        <w:sectPr w:rsidR="00F43CB7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64271376" w14:textId="77777777" w:rsidR="00F43CB7" w:rsidRDefault="00F43CB7">
      <w:pPr>
        <w:pStyle w:val="BodyText"/>
        <w:rPr>
          <w:rFonts w:ascii="Times New Roman"/>
          <w:b w:val="0"/>
          <w:sz w:val="24"/>
        </w:rPr>
      </w:pPr>
    </w:p>
    <w:p w14:paraId="4A2292D9" w14:textId="77777777" w:rsidR="00F43CB7" w:rsidRDefault="00F43CB7">
      <w:pPr>
        <w:pStyle w:val="BodyText"/>
        <w:rPr>
          <w:rFonts w:ascii="Times New Roman"/>
          <w:b w:val="0"/>
          <w:sz w:val="24"/>
        </w:rPr>
      </w:pPr>
    </w:p>
    <w:p w14:paraId="2B6867C6" w14:textId="77777777" w:rsidR="00F43CB7" w:rsidRDefault="00F43CB7">
      <w:pPr>
        <w:pStyle w:val="BodyText"/>
        <w:rPr>
          <w:rFonts w:ascii="Times New Roman"/>
          <w:b w:val="0"/>
          <w:sz w:val="24"/>
        </w:rPr>
      </w:pPr>
    </w:p>
    <w:p w14:paraId="5F61E1B5" w14:textId="77777777" w:rsidR="00F43CB7" w:rsidRDefault="00F43CB7">
      <w:pPr>
        <w:pStyle w:val="BodyText"/>
        <w:rPr>
          <w:rFonts w:ascii="Times New Roman"/>
          <w:b w:val="0"/>
          <w:sz w:val="24"/>
        </w:rPr>
      </w:pPr>
    </w:p>
    <w:p w14:paraId="491CC13C" w14:textId="77777777" w:rsidR="00F43CB7" w:rsidRDefault="00F43CB7">
      <w:pPr>
        <w:pStyle w:val="BodyText"/>
        <w:rPr>
          <w:rFonts w:ascii="Times New Roman"/>
          <w:b w:val="0"/>
          <w:sz w:val="24"/>
        </w:rPr>
      </w:pPr>
    </w:p>
    <w:p w14:paraId="6F2DE486" w14:textId="77777777" w:rsidR="00F43CB7" w:rsidRDefault="00F43CB7">
      <w:pPr>
        <w:pStyle w:val="BodyText"/>
        <w:rPr>
          <w:rFonts w:ascii="Times New Roman"/>
          <w:b w:val="0"/>
          <w:sz w:val="24"/>
        </w:rPr>
      </w:pPr>
    </w:p>
    <w:p w14:paraId="4EA4DEB1" w14:textId="77777777" w:rsidR="00F43CB7" w:rsidRDefault="00F43CB7">
      <w:pPr>
        <w:pStyle w:val="BodyText"/>
        <w:rPr>
          <w:rFonts w:ascii="Times New Roman"/>
          <w:b w:val="0"/>
          <w:sz w:val="24"/>
        </w:rPr>
      </w:pPr>
    </w:p>
    <w:p w14:paraId="26000970" w14:textId="77777777" w:rsidR="00F43CB7" w:rsidRDefault="00F43CB7">
      <w:pPr>
        <w:pStyle w:val="BodyText"/>
        <w:rPr>
          <w:rFonts w:ascii="Times New Roman"/>
          <w:b w:val="0"/>
          <w:sz w:val="24"/>
        </w:rPr>
      </w:pPr>
    </w:p>
    <w:p w14:paraId="6A76DF0F" w14:textId="77777777" w:rsidR="00F43CB7" w:rsidRDefault="00F43CB7">
      <w:pPr>
        <w:pStyle w:val="BodyText"/>
        <w:rPr>
          <w:rFonts w:ascii="Times New Roman"/>
          <w:b w:val="0"/>
          <w:sz w:val="24"/>
        </w:rPr>
      </w:pPr>
    </w:p>
    <w:p w14:paraId="6D582654" w14:textId="77777777" w:rsidR="00F43CB7" w:rsidRDefault="00F43CB7">
      <w:pPr>
        <w:pStyle w:val="BodyText"/>
        <w:spacing w:before="4"/>
        <w:rPr>
          <w:rFonts w:ascii="Times New Roman"/>
          <w:b w:val="0"/>
          <w:sz w:val="34"/>
        </w:rPr>
      </w:pPr>
    </w:p>
    <w:p w14:paraId="69C34339" w14:textId="77777777" w:rsidR="00F43CB7" w:rsidRDefault="00000000">
      <w:pPr>
        <w:pStyle w:val="BodyText"/>
        <w:ind w:left="105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14:paraId="02F6D254" w14:textId="77777777" w:rsidR="00F43CB7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51EF9437" w14:textId="77777777" w:rsidR="00F43CB7" w:rsidRDefault="00F43CB7">
      <w:pPr>
        <w:pStyle w:val="BodyText"/>
        <w:spacing w:before="1" w:after="1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F43CB7" w14:paraId="0B2AF88B" w14:textId="77777777">
        <w:trPr>
          <w:trHeight w:val="280"/>
        </w:trPr>
        <w:tc>
          <w:tcPr>
            <w:tcW w:w="4510" w:type="dxa"/>
          </w:tcPr>
          <w:p w14:paraId="6F15E88F" w14:textId="77777777" w:rsidR="00F43CB7" w:rsidRDefault="00000000">
            <w:pPr>
              <w:pStyle w:val="TableParagraph"/>
              <w:spacing w:before="12" w:line="249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368799FB" w14:textId="4DFE3F44" w:rsidR="00F43CB7" w:rsidRDefault="00000000">
            <w:pPr>
              <w:pStyle w:val="TableParagraph"/>
              <w:spacing w:before="12" w:line="249" w:lineRule="exact"/>
              <w:ind w:left="107"/>
            </w:pPr>
            <w:r>
              <w:t>1</w:t>
            </w:r>
            <w:r w:rsidR="00A96CAE">
              <w:t>2</w:t>
            </w:r>
            <w:r>
              <w:t xml:space="preserve">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43CB7" w14:paraId="06D9B300" w14:textId="77777777">
        <w:trPr>
          <w:trHeight w:val="282"/>
        </w:trPr>
        <w:tc>
          <w:tcPr>
            <w:tcW w:w="4510" w:type="dxa"/>
          </w:tcPr>
          <w:p w14:paraId="0A8DB57B" w14:textId="77777777" w:rsidR="00F43CB7" w:rsidRDefault="00000000">
            <w:pPr>
              <w:pStyle w:val="TableParagraph"/>
              <w:spacing w:before="12" w:line="251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977E002" w14:textId="6C3EF383" w:rsidR="00F43CB7" w:rsidRDefault="00000000">
            <w:pPr>
              <w:pStyle w:val="TableParagraph"/>
              <w:spacing w:before="12" w:line="251" w:lineRule="exact"/>
              <w:ind w:left="107"/>
            </w:pPr>
            <w:r>
              <w:t>PNT2022TMID2</w:t>
            </w:r>
            <w:r w:rsidR="00A96CAE">
              <w:t>2202</w:t>
            </w:r>
          </w:p>
        </w:tc>
      </w:tr>
      <w:tr w:rsidR="00F43CB7" w14:paraId="4A4263F7" w14:textId="77777777">
        <w:trPr>
          <w:trHeight w:val="556"/>
        </w:trPr>
        <w:tc>
          <w:tcPr>
            <w:tcW w:w="4510" w:type="dxa"/>
          </w:tcPr>
          <w:p w14:paraId="68B4CDA8" w14:textId="77777777" w:rsidR="00F43CB7" w:rsidRDefault="00000000">
            <w:pPr>
              <w:pStyle w:val="TableParagraph"/>
              <w:spacing w:before="12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B428AE2" w14:textId="77777777" w:rsidR="00F43CB7" w:rsidRDefault="00000000">
            <w:pPr>
              <w:pStyle w:val="TableParagraph"/>
              <w:spacing w:before="12"/>
              <w:ind w:left="107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A new</w:t>
            </w:r>
            <w:r>
              <w:rPr>
                <w:spacing w:val="-4"/>
              </w:rPr>
              <w:t xml:space="preserve"> </w:t>
            </w:r>
            <w:r>
              <w:t>hint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transportation –</w:t>
            </w:r>
          </w:p>
          <w:p w14:paraId="42D6ECAC" w14:textId="77777777" w:rsidR="00F43CB7" w:rsidRDefault="00000000">
            <w:pPr>
              <w:pStyle w:val="TableParagraph"/>
              <w:spacing w:before="20" w:line="251" w:lineRule="exact"/>
              <w:ind w:left="107"/>
            </w:pPr>
            <w:r>
              <w:t>Analysis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NYC</w:t>
            </w:r>
            <w:r>
              <w:rPr>
                <w:spacing w:val="-1"/>
              </w:rPr>
              <w:t xml:space="preserve"> </w:t>
            </w:r>
            <w:r>
              <w:t>bike</w:t>
            </w:r>
            <w:r>
              <w:rPr>
                <w:spacing w:val="-2"/>
              </w:rPr>
              <w:t xml:space="preserve"> </w:t>
            </w:r>
            <w:r>
              <w:t>share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F43CB7" w14:paraId="6E6AD5FA" w14:textId="77777777">
        <w:trPr>
          <w:trHeight w:val="280"/>
        </w:trPr>
        <w:tc>
          <w:tcPr>
            <w:tcW w:w="4510" w:type="dxa"/>
          </w:tcPr>
          <w:p w14:paraId="7001E0A1" w14:textId="77777777" w:rsidR="00F43CB7" w:rsidRDefault="00000000">
            <w:pPr>
              <w:pStyle w:val="TableParagraph"/>
              <w:spacing w:before="10" w:line="251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31381E4" w14:textId="77777777" w:rsidR="00F43CB7" w:rsidRDefault="00000000">
            <w:pPr>
              <w:pStyle w:val="TableParagraph"/>
              <w:spacing w:before="10" w:line="251" w:lineRule="exact"/>
              <w:ind w:left="107"/>
            </w:pPr>
            <w:r>
              <w:t>4 Marks</w:t>
            </w:r>
          </w:p>
        </w:tc>
      </w:tr>
    </w:tbl>
    <w:p w14:paraId="139FC2F9" w14:textId="77777777" w:rsidR="00F43CB7" w:rsidRDefault="00F43CB7">
      <w:pPr>
        <w:spacing w:line="251" w:lineRule="exact"/>
        <w:sectPr w:rsidR="00F43CB7">
          <w:type w:val="continuous"/>
          <w:pgSz w:w="16840" w:h="11910" w:orient="landscape"/>
          <w:pgMar w:top="1100" w:right="720" w:bottom="280" w:left="1320" w:header="720" w:footer="720" w:gutter="0"/>
          <w:cols w:num="2" w:space="720" w:equalWidth="0">
            <w:col w:w="2553" w:space="64"/>
            <w:col w:w="12183"/>
          </w:cols>
        </w:sectPr>
      </w:pPr>
    </w:p>
    <w:p w14:paraId="73077457" w14:textId="77777777" w:rsidR="00F43CB7" w:rsidRDefault="00000000">
      <w:pPr>
        <w:pStyle w:val="BodyText"/>
        <w:ind w:left="4543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88F93F3">
          <v:group id="_x0000_s1026" style="width:284.85pt;height:312.75pt;mso-position-horizontal-relative:char;mso-position-vertical-relative:line" coordsize="5697,62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29;top:269;width:5233;height:5810">
              <v:imagedata r:id="rId5" o:title=""/>
            </v:shape>
            <v:rect id="_x0000_s1027" style="position:absolute;left:7;top:7;width:5682;height:6240" filled="f"/>
            <w10:anchorlock/>
          </v:group>
        </w:pict>
      </w:r>
    </w:p>
    <w:p w14:paraId="00071C0E" w14:textId="77777777" w:rsidR="00F43CB7" w:rsidRDefault="00F43CB7">
      <w:pPr>
        <w:rPr>
          <w:sz w:val="20"/>
        </w:rPr>
        <w:sectPr w:rsidR="00F43CB7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2BCBEEAC" w14:textId="77777777" w:rsidR="00F43CB7" w:rsidRDefault="00F43CB7">
      <w:pPr>
        <w:pStyle w:val="BodyText"/>
        <w:spacing w:before="3"/>
        <w:rPr>
          <w:sz w:val="21"/>
        </w:rPr>
      </w:pPr>
    </w:p>
    <w:p w14:paraId="49900F0E" w14:textId="77777777" w:rsidR="00F43CB7" w:rsidRDefault="00000000">
      <w:pPr>
        <w:pStyle w:val="BodyText"/>
        <w:spacing w:before="94" w:after="19"/>
        <w:ind w:left="105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3293"/>
        <w:gridCol w:w="5983"/>
        <w:gridCol w:w="4154"/>
      </w:tblGrid>
      <w:tr w:rsidR="00F43CB7" w14:paraId="4F2C36F2" w14:textId="77777777">
        <w:trPr>
          <w:trHeight w:val="549"/>
        </w:trPr>
        <w:tc>
          <w:tcPr>
            <w:tcW w:w="838" w:type="dxa"/>
          </w:tcPr>
          <w:p w14:paraId="369E7A02" w14:textId="77777777" w:rsidR="00F43CB7" w:rsidRDefault="00000000">
            <w:pPr>
              <w:pStyle w:val="TableParagraph"/>
              <w:spacing w:before="184"/>
              <w:ind w:right="2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293" w:type="dxa"/>
          </w:tcPr>
          <w:p w14:paraId="78BB641B" w14:textId="77777777" w:rsidR="00F43CB7" w:rsidRDefault="00000000">
            <w:pPr>
              <w:pStyle w:val="TableParagraph"/>
              <w:spacing w:before="18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983" w:type="dxa"/>
          </w:tcPr>
          <w:p w14:paraId="47FC67A7" w14:textId="77777777" w:rsidR="00F43CB7" w:rsidRDefault="00000000">
            <w:pPr>
              <w:pStyle w:val="TableParagraph"/>
              <w:spacing w:before="184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54" w:type="dxa"/>
          </w:tcPr>
          <w:p w14:paraId="392157A5" w14:textId="77777777" w:rsidR="00F43CB7" w:rsidRDefault="00000000">
            <w:pPr>
              <w:pStyle w:val="TableParagraph"/>
              <w:spacing w:before="184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43CB7" w14:paraId="6C2F4DFB" w14:textId="77777777">
        <w:trPr>
          <w:trHeight w:val="844"/>
        </w:trPr>
        <w:tc>
          <w:tcPr>
            <w:tcW w:w="838" w:type="dxa"/>
          </w:tcPr>
          <w:p w14:paraId="6E44D23B" w14:textId="77777777" w:rsidR="00F43CB7" w:rsidRDefault="00F43CB7"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 w14:paraId="614205FC" w14:textId="77777777" w:rsidR="00F43CB7" w:rsidRDefault="00000000">
            <w:pPr>
              <w:pStyle w:val="TableParagraph"/>
              <w:ind w:right="250"/>
              <w:jc w:val="right"/>
            </w:pPr>
            <w:r>
              <w:t>1.</w:t>
            </w:r>
          </w:p>
        </w:tc>
        <w:tc>
          <w:tcPr>
            <w:tcW w:w="3293" w:type="dxa"/>
          </w:tcPr>
          <w:p w14:paraId="3CEC8BC2" w14:textId="77777777" w:rsidR="00F43CB7" w:rsidRDefault="00F43CB7"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 w14:paraId="59BA6AF1" w14:textId="77777777" w:rsidR="00F43CB7" w:rsidRDefault="00000000">
            <w:pPr>
              <w:pStyle w:val="TableParagraph"/>
              <w:ind w:left="10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5983" w:type="dxa"/>
          </w:tcPr>
          <w:p w14:paraId="5FA574BE" w14:textId="77777777" w:rsidR="00F43CB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6"/>
              </w:tabs>
              <w:spacing w:before="91"/>
            </w:pP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results of</w:t>
            </w:r>
            <w:r>
              <w:rPr>
                <w:spacing w:val="-3"/>
              </w:rPr>
              <w:t xml:space="preserve"> </w:t>
            </w:r>
            <w:r>
              <w:t>analysis as</w:t>
            </w:r>
            <w:r>
              <w:rPr>
                <w:spacing w:val="-3"/>
              </w:rPr>
              <w:t xml:space="preserve"> </w:t>
            </w:r>
            <w:r>
              <w:t>visualizations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  <w:p w14:paraId="697C8B04" w14:textId="77777777" w:rsidR="00F43CB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6"/>
              </w:tabs>
              <w:spacing w:before="78"/>
            </w:pP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insights 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  <w:tc>
          <w:tcPr>
            <w:tcW w:w="4154" w:type="dxa"/>
          </w:tcPr>
          <w:p w14:paraId="69EE0B2B" w14:textId="77777777" w:rsidR="00F43CB7" w:rsidRDefault="00000000">
            <w:pPr>
              <w:pStyle w:val="TableParagraph"/>
              <w:spacing w:before="196" w:line="259" w:lineRule="auto"/>
              <w:ind w:left="108" w:right="165"/>
            </w:pPr>
            <w:r>
              <w:t>HTML, CSS, JavaScript, React JS, IBM</w:t>
            </w:r>
            <w:r>
              <w:rPr>
                <w:spacing w:val="-59"/>
              </w:rPr>
              <w:t xml:space="preserve"> </w:t>
            </w:r>
            <w:r>
              <w:t>Cognos,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F43CB7" w14:paraId="427CCEB5" w14:textId="77777777">
        <w:trPr>
          <w:trHeight w:val="633"/>
        </w:trPr>
        <w:tc>
          <w:tcPr>
            <w:tcW w:w="838" w:type="dxa"/>
          </w:tcPr>
          <w:p w14:paraId="6DCF7C75" w14:textId="77777777" w:rsidR="00F43CB7" w:rsidRDefault="00F43CB7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4BE69275" w14:textId="77777777" w:rsidR="00F43CB7" w:rsidRDefault="00000000">
            <w:pPr>
              <w:pStyle w:val="TableParagraph"/>
              <w:ind w:right="250"/>
              <w:jc w:val="right"/>
            </w:pPr>
            <w:r>
              <w:t>2.</w:t>
            </w:r>
          </w:p>
        </w:tc>
        <w:tc>
          <w:tcPr>
            <w:tcW w:w="3293" w:type="dxa"/>
          </w:tcPr>
          <w:p w14:paraId="678D7961" w14:textId="77777777" w:rsidR="00F43CB7" w:rsidRDefault="00F43CB7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39766723" w14:textId="77777777" w:rsidR="00F43CB7" w:rsidRDefault="00000000">
            <w:pPr>
              <w:pStyle w:val="TableParagraph"/>
              <w:ind w:left="107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983" w:type="dxa"/>
          </w:tcPr>
          <w:p w14:paraId="0E5F8EF2" w14:textId="77777777" w:rsidR="00F43CB7" w:rsidRDefault="00F43CB7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02FB9C9B" w14:textId="77777777" w:rsidR="00F43CB7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54" w:type="dxa"/>
          </w:tcPr>
          <w:p w14:paraId="09B38CC0" w14:textId="77777777" w:rsidR="00F43CB7" w:rsidRDefault="00F43CB7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482B5C32" w14:textId="77777777" w:rsidR="00F43CB7" w:rsidRDefault="00000000">
            <w:pPr>
              <w:pStyle w:val="TableParagraph"/>
              <w:ind w:left="108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F43CB7" w14:paraId="51C4CC52" w14:textId="77777777">
        <w:trPr>
          <w:trHeight w:val="652"/>
        </w:trPr>
        <w:tc>
          <w:tcPr>
            <w:tcW w:w="838" w:type="dxa"/>
          </w:tcPr>
          <w:p w14:paraId="4912DD88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73C973D5" w14:textId="77777777" w:rsidR="00F43CB7" w:rsidRDefault="00000000">
            <w:pPr>
              <w:pStyle w:val="TableParagraph"/>
              <w:ind w:right="250"/>
              <w:jc w:val="right"/>
            </w:pPr>
            <w:r>
              <w:t>3.</w:t>
            </w:r>
          </w:p>
        </w:tc>
        <w:tc>
          <w:tcPr>
            <w:tcW w:w="3293" w:type="dxa"/>
          </w:tcPr>
          <w:p w14:paraId="126DB2E2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15744F5C" w14:textId="77777777" w:rsidR="00F43CB7" w:rsidRDefault="00000000">
            <w:pPr>
              <w:pStyle w:val="TableParagraph"/>
              <w:ind w:left="107"/>
            </w:pPr>
            <w:r>
              <w:t>Database</w:t>
            </w:r>
          </w:p>
        </w:tc>
        <w:tc>
          <w:tcPr>
            <w:tcW w:w="5983" w:type="dxa"/>
          </w:tcPr>
          <w:p w14:paraId="2A154C4C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0E1CCB37" w14:textId="77777777" w:rsidR="00F43CB7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memory</w:t>
            </w:r>
            <w:r>
              <w:rPr>
                <w:spacing w:val="-2"/>
              </w:rPr>
              <w:t xml:space="preserve"> </w:t>
            </w:r>
            <w:r>
              <w:t>intensive Citi</w:t>
            </w:r>
            <w:r>
              <w:rPr>
                <w:spacing w:val="-1"/>
              </w:rPr>
              <w:t xml:space="preserve"> </w:t>
            </w:r>
            <w:r>
              <w:t>bike</w:t>
            </w:r>
            <w:r>
              <w:rPr>
                <w:spacing w:val="-1"/>
              </w:rPr>
              <w:t xml:space="preserve"> </w:t>
            </w:r>
            <w:r>
              <w:t>dataset</w:t>
            </w:r>
          </w:p>
        </w:tc>
        <w:tc>
          <w:tcPr>
            <w:tcW w:w="4154" w:type="dxa"/>
          </w:tcPr>
          <w:p w14:paraId="01ACBB06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A8F97F1" w14:textId="77777777" w:rsidR="00F43CB7" w:rsidRDefault="00000000">
            <w:pPr>
              <w:pStyle w:val="TableParagraph"/>
              <w:ind w:left="108"/>
            </w:pPr>
            <w:r>
              <w:t>MySQL,</w:t>
            </w:r>
            <w:r>
              <w:rPr>
                <w:spacing w:val="-2"/>
              </w:rPr>
              <w:t xml:space="preserve"> </w:t>
            </w:r>
            <w:r>
              <w:t>MongoDB,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F43CB7" w14:paraId="76F0082A" w14:textId="77777777">
        <w:trPr>
          <w:trHeight w:val="654"/>
        </w:trPr>
        <w:tc>
          <w:tcPr>
            <w:tcW w:w="838" w:type="dxa"/>
          </w:tcPr>
          <w:p w14:paraId="05DF597B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6478888A" w14:textId="77777777" w:rsidR="00F43CB7" w:rsidRDefault="00000000">
            <w:pPr>
              <w:pStyle w:val="TableParagraph"/>
              <w:ind w:right="250"/>
              <w:jc w:val="right"/>
            </w:pPr>
            <w:r>
              <w:t>4.</w:t>
            </w:r>
          </w:p>
        </w:tc>
        <w:tc>
          <w:tcPr>
            <w:tcW w:w="3293" w:type="dxa"/>
          </w:tcPr>
          <w:p w14:paraId="7F1B138F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CCA57B3" w14:textId="77777777" w:rsidR="00F43CB7" w:rsidRDefault="00000000">
            <w:pPr>
              <w:pStyle w:val="TableParagraph"/>
              <w:ind w:left="107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983" w:type="dxa"/>
          </w:tcPr>
          <w:p w14:paraId="09934685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720523A5" w14:textId="77777777" w:rsidR="00F43CB7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memory</w:t>
            </w:r>
            <w:r>
              <w:rPr>
                <w:spacing w:val="-2"/>
              </w:rPr>
              <w:t xml:space="preserve"> </w:t>
            </w:r>
            <w:r>
              <w:t>intensive</w:t>
            </w:r>
            <w:r>
              <w:rPr>
                <w:spacing w:val="-1"/>
              </w:rPr>
              <w:t xml:space="preserve"> </w:t>
            </w:r>
            <w:r>
              <w:t>Citi</w:t>
            </w:r>
            <w:r>
              <w:rPr>
                <w:spacing w:val="-1"/>
              </w:rPr>
              <w:t xml:space="preserve"> </w:t>
            </w:r>
            <w:r>
              <w:t>bike dataset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54" w:type="dxa"/>
          </w:tcPr>
          <w:p w14:paraId="4A356E25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7ECF6F5C" w14:textId="77777777" w:rsidR="00F43CB7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43CB7" w14:paraId="055D1327" w14:textId="77777777">
        <w:trPr>
          <w:trHeight w:val="765"/>
        </w:trPr>
        <w:tc>
          <w:tcPr>
            <w:tcW w:w="838" w:type="dxa"/>
          </w:tcPr>
          <w:p w14:paraId="71763B40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5FCBFA2A" w14:textId="77777777" w:rsidR="00F43CB7" w:rsidRDefault="00000000">
            <w:pPr>
              <w:pStyle w:val="TableParagraph"/>
              <w:ind w:right="250"/>
              <w:jc w:val="right"/>
            </w:pPr>
            <w:r>
              <w:t>5.</w:t>
            </w:r>
          </w:p>
        </w:tc>
        <w:tc>
          <w:tcPr>
            <w:tcW w:w="3293" w:type="dxa"/>
          </w:tcPr>
          <w:p w14:paraId="2F48F719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1D3C4BC2" w14:textId="77777777" w:rsidR="00F43CB7" w:rsidRDefault="00000000">
            <w:pPr>
              <w:pStyle w:val="TableParagraph"/>
              <w:ind w:left="107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983" w:type="dxa"/>
          </w:tcPr>
          <w:p w14:paraId="2D330481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19409717" w14:textId="77777777" w:rsidR="00F43CB7" w:rsidRDefault="00000000">
            <w:pPr>
              <w:pStyle w:val="TableParagraph"/>
              <w:ind w:left="108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54" w:type="dxa"/>
          </w:tcPr>
          <w:p w14:paraId="5DF1191B" w14:textId="77777777" w:rsidR="00F43CB7" w:rsidRDefault="00000000">
            <w:pPr>
              <w:pStyle w:val="TableParagraph"/>
              <w:spacing w:before="91" w:line="259" w:lineRule="auto"/>
              <w:ind w:left="108" w:right="494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F43CB7" w14:paraId="1D5FFECA" w14:textId="77777777">
        <w:trPr>
          <w:trHeight w:val="765"/>
        </w:trPr>
        <w:tc>
          <w:tcPr>
            <w:tcW w:w="838" w:type="dxa"/>
          </w:tcPr>
          <w:p w14:paraId="5EB479AF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4CAD2975" w14:textId="77777777" w:rsidR="00F43CB7" w:rsidRDefault="00000000">
            <w:pPr>
              <w:pStyle w:val="TableParagraph"/>
              <w:ind w:right="250"/>
              <w:jc w:val="right"/>
            </w:pPr>
            <w:r>
              <w:t>6.</w:t>
            </w:r>
          </w:p>
        </w:tc>
        <w:tc>
          <w:tcPr>
            <w:tcW w:w="3293" w:type="dxa"/>
          </w:tcPr>
          <w:p w14:paraId="2A1C4326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1948D3E3" w14:textId="77777777" w:rsidR="00F43CB7" w:rsidRDefault="00000000">
            <w:pPr>
              <w:pStyle w:val="TableParagraph"/>
              <w:ind w:left="107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983" w:type="dxa"/>
          </w:tcPr>
          <w:p w14:paraId="19F55F18" w14:textId="77777777" w:rsidR="00F43CB7" w:rsidRDefault="00000000">
            <w:pPr>
              <w:pStyle w:val="TableParagraph"/>
              <w:spacing w:before="91" w:line="259" w:lineRule="auto"/>
              <w:ind w:left="108" w:right="439"/>
            </w:pPr>
            <w:r>
              <w:t>To obtain geospatial information of Citi bike in NYC and</w:t>
            </w:r>
            <w:r>
              <w:rPr>
                <w:spacing w:val="-60"/>
              </w:rPr>
              <w:t xml:space="preserve"> </w:t>
            </w:r>
            <w:r>
              <w:t>map it</w:t>
            </w:r>
          </w:p>
        </w:tc>
        <w:tc>
          <w:tcPr>
            <w:tcW w:w="4154" w:type="dxa"/>
          </w:tcPr>
          <w:p w14:paraId="754DD4F6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45EFD8E1" w14:textId="77777777" w:rsidR="00F43CB7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Map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</w:tr>
      <w:tr w:rsidR="00F43CB7" w14:paraId="5AB2475F" w14:textId="77777777">
        <w:trPr>
          <w:trHeight w:val="652"/>
        </w:trPr>
        <w:tc>
          <w:tcPr>
            <w:tcW w:w="838" w:type="dxa"/>
          </w:tcPr>
          <w:p w14:paraId="06BE5710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4F1EC5D2" w14:textId="77777777" w:rsidR="00F43CB7" w:rsidRDefault="00000000">
            <w:pPr>
              <w:pStyle w:val="TableParagraph"/>
              <w:ind w:right="250"/>
              <w:jc w:val="right"/>
            </w:pPr>
            <w:r>
              <w:t>7.</w:t>
            </w:r>
          </w:p>
        </w:tc>
        <w:tc>
          <w:tcPr>
            <w:tcW w:w="3293" w:type="dxa"/>
          </w:tcPr>
          <w:p w14:paraId="6A97EE4A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619D8764" w14:textId="77777777" w:rsidR="00F43CB7" w:rsidRDefault="00000000">
            <w:pPr>
              <w:pStyle w:val="TableParagraph"/>
              <w:ind w:left="107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983" w:type="dxa"/>
          </w:tcPr>
          <w:p w14:paraId="735FE07D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40342175" w14:textId="77777777" w:rsidR="00F43CB7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analysis</w:t>
            </w:r>
          </w:p>
        </w:tc>
        <w:tc>
          <w:tcPr>
            <w:tcW w:w="4154" w:type="dxa"/>
          </w:tcPr>
          <w:p w14:paraId="2AF45DB2" w14:textId="77777777" w:rsidR="00F43CB7" w:rsidRDefault="00F43CB7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7BBB477C" w14:textId="77777777" w:rsidR="00F43CB7" w:rsidRDefault="00000000">
            <w:pPr>
              <w:pStyle w:val="TableParagraph"/>
              <w:ind w:left="108"/>
            </w:pPr>
            <w:r>
              <w:t>Google</w:t>
            </w:r>
            <w:r>
              <w:rPr>
                <w:spacing w:val="-2"/>
              </w:rPr>
              <w:t xml:space="preserve"> </w:t>
            </w:r>
            <w:r>
              <w:t>Colab,</w:t>
            </w:r>
            <w:r>
              <w:rPr>
                <w:spacing w:val="-2"/>
              </w:rPr>
              <w:t xml:space="preserve"> </w:t>
            </w:r>
            <w:r>
              <w:t>Jupyter Notebook</w:t>
            </w:r>
          </w:p>
        </w:tc>
      </w:tr>
      <w:tr w:rsidR="00F43CB7" w14:paraId="0A6D0BE4" w14:textId="77777777">
        <w:trPr>
          <w:trHeight w:val="842"/>
        </w:trPr>
        <w:tc>
          <w:tcPr>
            <w:tcW w:w="838" w:type="dxa"/>
          </w:tcPr>
          <w:p w14:paraId="0468F3F0" w14:textId="77777777" w:rsidR="00F43CB7" w:rsidRDefault="00F43CB7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962EB4B" w14:textId="77777777" w:rsidR="00F43CB7" w:rsidRDefault="00000000">
            <w:pPr>
              <w:pStyle w:val="TableParagraph"/>
              <w:ind w:right="250"/>
              <w:jc w:val="right"/>
            </w:pPr>
            <w:r>
              <w:t>8.</w:t>
            </w:r>
          </w:p>
        </w:tc>
        <w:tc>
          <w:tcPr>
            <w:tcW w:w="3293" w:type="dxa"/>
          </w:tcPr>
          <w:p w14:paraId="72E9836B" w14:textId="77777777" w:rsidR="00F43CB7" w:rsidRDefault="00F43CB7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0363A4A6" w14:textId="77777777" w:rsidR="00F43CB7" w:rsidRDefault="00000000">
            <w:pPr>
              <w:pStyle w:val="TableParagraph"/>
              <w:ind w:left="107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983" w:type="dxa"/>
          </w:tcPr>
          <w:p w14:paraId="20B022B0" w14:textId="77777777" w:rsidR="00F43C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before="88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results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values for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incoming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  <w:p w14:paraId="202F7E20" w14:textId="77777777" w:rsidR="00F43C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before="79"/>
            </w:pPr>
            <w:r>
              <w:t>To plot</w:t>
            </w:r>
            <w:r>
              <w:rPr>
                <w:spacing w:val="1"/>
              </w:rPr>
              <w:t xml:space="preserve"> </w:t>
            </w:r>
            <w:r>
              <w:t>graphs</w:t>
            </w:r>
            <w:r>
              <w:rPr>
                <w:spacing w:val="-2"/>
              </w:rPr>
              <w:t xml:space="preserve"> </w:t>
            </w:r>
            <w:r>
              <w:t>based on</w:t>
            </w:r>
            <w:r>
              <w:rPr>
                <w:spacing w:val="-5"/>
              </w:rPr>
              <w:t xml:space="preserve"> </w:t>
            </w:r>
            <w:r>
              <w:t>dataset</w:t>
            </w:r>
          </w:p>
        </w:tc>
        <w:tc>
          <w:tcPr>
            <w:tcW w:w="4154" w:type="dxa"/>
          </w:tcPr>
          <w:p w14:paraId="59065057" w14:textId="77777777" w:rsidR="00F43CB7" w:rsidRDefault="00F43CB7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6244F4B7" w14:textId="77777777" w:rsidR="00F43CB7" w:rsidRDefault="00000000">
            <w:pPr>
              <w:pStyle w:val="TableParagraph"/>
              <w:ind w:left="108"/>
            </w:pPr>
            <w:r>
              <w:t>Regression</w:t>
            </w:r>
            <w:r>
              <w:rPr>
                <w:spacing w:val="-3"/>
              </w:rPr>
              <w:t xml:space="preserve"> </w:t>
            </w:r>
            <w:r>
              <w:t>Models</w:t>
            </w:r>
          </w:p>
        </w:tc>
      </w:tr>
      <w:tr w:rsidR="00F43CB7" w14:paraId="53005F3A" w14:textId="77777777">
        <w:trPr>
          <w:trHeight w:val="1181"/>
        </w:trPr>
        <w:tc>
          <w:tcPr>
            <w:tcW w:w="838" w:type="dxa"/>
          </w:tcPr>
          <w:p w14:paraId="146DE387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6BE6046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60803A0A" w14:textId="77777777" w:rsidR="00F43CB7" w:rsidRDefault="00000000">
            <w:pPr>
              <w:pStyle w:val="TableParagraph"/>
              <w:ind w:right="250"/>
              <w:jc w:val="right"/>
            </w:pPr>
            <w:r>
              <w:t>9.</w:t>
            </w:r>
          </w:p>
        </w:tc>
        <w:tc>
          <w:tcPr>
            <w:tcW w:w="3293" w:type="dxa"/>
          </w:tcPr>
          <w:p w14:paraId="323F7EF4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8F63101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27C2CF74" w14:textId="77777777" w:rsidR="00F43CB7" w:rsidRDefault="00000000">
            <w:pPr>
              <w:pStyle w:val="TableParagraph"/>
              <w:ind w:left="107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983" w:type="dxa"/>
          </w:tcPr>
          <w:p w14:paraId="779D51AE" w14:textId="77777777" w:rsidR="00F43CB7" w:rsidRDefault="00000000">
            <w:pPr>
              <w:pStyle w:val="TableParagraph"/>
              <w:spacing w:before="91" w:line="314" w:lineRule="auto"/>
              <w:ind w:left="108" w:right="807"/>
            </w:pPr>
            <w:r>
              <w:t>Application Deployment on Local System / Cloud</w:t>
            </w:r>
            <w:r>
              <w:rPr>
                <w:spacing w:val="1"/>
              </w:rPr>
              <w:t xml:space="preserve"> </w:t>
            </w:r>
            <w:r>
              <w:t>Local Server Configuration: Local Server (localhost)</w:t>
            </w:r>
            <w:r>
              <w:rPr>
                <w:spacing w:val="-60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 :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</w:tc>
        <w:tc>
          <w:tcPr>
            <w:tcW w:w="4154" w:type="dxa"/>
          </w:tcPr>
          <w:p w14:paraId="6953776B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1943C6" w14:textId="77777777" w:rsidR="00F43CB7" w:rsidRDefault="00F43CB7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5E49DF17" w14:textId="77777777" w:rsidR="00F43CB7" w:rsidRDefault="00000000">
            <w:pPr>
              <w:pStyle w:val="TableParagraph"/>
              <w:ind w:left="108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14:paraId="50522729" w14:textId="77777777" w:rsidR="00F43CB7" w:rsidRDefault="00F43CB7">
      <w:pPr>
        <w:sectPr w:rsidR="00F43CB7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7AB529BB" w14:textId="77777777" w:rsidR="00F43CB7" w:rsidRDefault="00F43CB7">
      <w:pPr>
        <w:pStyle w:val="BodyText"/>
        <w:rPr>
          <w:sz w:val="20"/>
        </w:rPr>
      </w:pPr>
    </w:p>
    <w:p w14:paraId="130EE2F9" w14:textId="77777777" w:rsidR="00F43CB7" w:rsidRDefault="00F43CB7">
      <w:pPr>
        <w:pStyle w:val="BodyText"/>
        <w:rPr>
          <w:sz w:val="20"/>
        </w:rPr>
      </w:pPr>
    </w:p>
    <w:p w14:paraId="3D261DA2" w14:textId="77777777" w:rsidR="00F43CB7" w:rsidRDefault="00F43CB7">
      <w:pPr>
        <w:pStyle w:val="BodyText"/>
        <w:rPr>
          <w:sz w:val="20"/>
        </w:rPr>
      </w:pPr>
    </w:p>
    <w:p w14:paraId="7A4BAC03" w14:textId="77777777" w:rsidR="00F43CB7" w:rsidRDefault="00F43CB7">
      <w:pPr>
        <w:pStyle w:val="BodyText"/>
        <w:spacing w:before="7"/>
        <w:rPr>
          <w:sz w:val="25"/>
        </w:rPr>
      </w:pPr>
    </w:p>
    <w:p w14:paraId="4412D8F7" w14:textId="77777777" w:rsidR="00F43CB7" w:rsidRDefault="00000000">
      <w:pPr>
        <w:pStyle w:val="BodyText"/>
        <w:spacing w:before="93" w:after="19"/>
        <w:ind w:left="10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3260"/>
        <w:gridCol w:w="5957"/>
        <w:gridCol w:w="4477"/>
      </w:tblGrid>
      <w:tr w:rsidR="00F43CB7" w14:paraId="3A2F86B0" w14:textId="77777777">
        <w:trPr>
          <w:trHeight w:val="597"/>
        </w:trPr>
        <w:tc>
          <w:tcPr>
            <w:tcW w:w="848" w:type="dxa"/>
          </w:tcPr>
          <w:p w14:paraId="221A4889" w14:textId="77777777" w:rsidR="00F43CB7" w:rsidRDefault="00000000">
            <w:pPr>
              <w:pStyle w:val="TableParagraph"/>
              <w:spacing w:before="187"/>
              <w:ind w:right="22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260" w:type="dxa"/>
          </w:tcPr>
          <w:p w14:paraId="655D6A36" w14:textId="77777777" w:rsidR="00F43CB7" w:rsidRDefault="00000000">
            <w:pPr>
              <w:pStyle w:val="TableParagraph"/>
              <w:spacing w:before="187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957" w:type="dxa"/>
          </w:tcPr>
          <w:p w14:paraId="4BC08D88" w14:textId="77777777" w:rsidR="00F43CB7" w:rsidRDefault="00000000">
            <w:pPr>
              <w:pStyle w:val="TableParagraph"/>
              <w:spacing w:before="187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477" w:type="dxa"/>
          </w:tcPr>
          <w:p w14:paraId="3502742C" w14:textId="77777777" w:rsidR="00F43CB7" w:rsidRDefault="00000000">
            <w:pPr>
              <w:pStyle w:val="TableParagraph"/>
              <w:spacing w:before="187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43CB7" w14:paraId="7529D251" w14:textId="77777777">
        <w:trPr>
          <w:trHeight w:val="641"/>
        </w:trPr>
        <w:tc>
          <w:tcPr>
            <w:tcW w:w="848" w:type="dxa"/>
          </w:tcPr>
          <w:p w14:paraId="4C4EEB73" w14:textId="77777777" w:rsidR="00F43CB7" w:rsidRDefault="00000000">
            <w:pPr>
              <w:pStyle w:val="TableParagraph"/>
              <w:spacing w:before="211"/>
              <w:ind w:right="262"/>
              <w:jc w:val="right"/>
            </w:pPr>
            <w:r>
              <w:t>1.</w:t>
            </w:r>
          </w:p>
        </w:tc>
        <w:tc>
          <w:tcPr>
            <w:tcW w:w="3260" w:type="dxa"/>
          </w:tcPr>
          <w:p w14:paraId="0AAB68A2" w14:textId="77777777" w:rsidR="00F43CB7" w:rsidRDefault="00000000">
            <w:pPr>
              <w:pStyle w:val="TableParagraph"/>
              <w:spacing w:before="211"/>
              <w:ind w:left="107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957" w:type="dxa"/>
          </w:tcPr>
          <w:p w14:paraId="6CD9B7C3" w14:textId="77777777" w:rsidR="00F43CB7" w:rsidRDefault="00000000">
            <w:pPr>
              <w:pStyle w:val="TableParagraph"/>
              <w:spacing w:before="211"/>
              <w:ind w:left="107"/>
            </w:pPr>
            <w:r>
              <w:t>Encrypting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users</w:t>
            </w:r>
          </w:p>
        </w:tc>
        <w:tc>
          <w:tcPr>
            <w:tcW w:w="4477" w:type="dxa"/>
          </w:tcPr>
          <w:p w14:paraId="776B946B" w14:textId="77777777" w:rsidR="00F43CB7" w:rsidRDefault="00000000">
            <w:pPr>
              <w:pStyle w:val="TableParagraph"/>
              <w:spacing w:before="48" w:line="259" w:lineRule="auto"/>
              <w:ind w:left="107" w:right="292"/>
            </w:pPr>
            <w:r>
              <w:t>e.g. SHA-256, Encryptions, IAM Controls,</w:t>
            </w:r>
            <w:r>
              <w:rPr>
                <w:spacing w:val="-59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43CB7" w14:paraId="3FE23AF4" w14:textId="77777777">
        <w:trPr>
          <w:trHeight w:val="1153"/>
        </w:trPr>
        <w:tc>
          <w:tcPr>
            <w:tcW w:w="848" w:type="dxa"/>
          </w:tcPr>
          <w:p w14:paraId="60765A98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7E6C16" w14:textId="77777777" w:rsidR="00F43CB7" w:rsidRDefault="00000000">
            <w:pPr>
              <w:pStyle w:val="TableParagraph"/>
              <w:spacing w:before="189"/>
              <w:ind w:right="262"/>
              <w:jc w:val="right"/>
            </w:pPr>
            <w:r>
              <w:t>2.</w:t>
            </w:r>
          </w:p>
        </w:tc>
        <w:tc>
          <w:tcPr>
            <w:tcW w:w="3260" w:type="dxa"/>
          </w:tcPr>
          <w:p w14:paraId="08054CEE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64FE22" w14:textId="77777777" w:rsidR="00F43CB7" w:rsidRDefault="00000000">
            <w:pPr>
              <w:pStyle w:val="TableParagraph"/>
              <w:spacing w:before="189"/>
              <w:ind w:left="10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957" w:type="dxa"/>
          </w:tcPr>
          <w:p w14:paraId="1376369F" w14:textId="77777777" w:rsidR="00F43CB7" w:rsidRDefault="00000000">
            <w:pPr>
              <w:pStyle w:val="TableParagraph"/>
              <w:spacing w:before="50" w:line="259" w:lineRule="auto"/>
              <w:ind w:left="107" w:right="48"/>
            </w:pPr>
            <w:r>
              <w:rPr>
                <w:color w:val="161616"/>
              </w:rPr>
              <w:t>Each IBM Cognos BI server contains a dispatcher that runs</w:t>
            </w:r>
            <w:r>
              <w:rPr>
                <w:color w:val="161616"/>
                <w:spacing w:val="-59"/>
              </w:rPr>
              <w:t xml:space="preserve"> </w:t>
            </w:r>
            <w:r>
              <w:rPr>
                <w:color w:val="161616"/>
              </w:rPr>
              <w:t>the IBM Cognos BI presentation service, batch report and</w:t>
            </w:r>
            <w:r>
              <w:rPr>
                <w:color w:val="161616"/>
                <w:spacing w:val="1"/>
              </w:rPr>
              <w:t xml:space="preserve"> </w:t>
            </w:r>
            <w:r>
              <w:rPr>
                <w:color w:val="161616"/>
              </w:rPr>
              <w:t>report</w:t>
            </w:r>
            <w:r>
              <w:rPr>
                <w:color w:val="161616"/>
                <w:spacing w:val="1"/>
              </w:rPr>
              <w:t xml:space="preserve"> </w:t>
            </w:r>
            <w:r>
              <w:rPr>
                <w:color w:val="161616"/>
              </w:rPr>
              <w:t>services,</w:t>
            </w:r>
            <w:r>
              <w:rPr>
                <w:color w:val="161616"/>
                <w:spacing w:val="-4"/>
              </w:rPr>
              <w:t xml:space="preserve"> </w:t>
            </w:r>
            <w:r>
              <w:rPr>
                <w:color w:val="161616"/>
              </w:rPr>
              <w:t>job and</w:t>
            </w:r>
            <w:r>
              <w:rPr>
                <w:color w:val="161616"/>
                <w:spacing w:val="-5"/>
              </w:rPr>
              <w:t xml:space="preserve"> </w:t>
            </w:r>
            <w:r>
              <w:rPr>
                <w:color w:val="161616"/>
              </w:rPr>
              <w:t>schedule monitor</w:t>
            </w:r>
            <w:r>
              <w:rPr>
                <w:color w:val="161616"/>
                <w:spacing w:val="-2"/>
              </w:rPr>
              <w:t xml:space="preserve"> </w:t>
            </w:r>
            <w:r>
              <w:rPr>
                <w:color w:val="161616"/>
              </w:rPr>
              <w:t>service,</w:t>
            </w:r>
            <w:r>
              <w:rPr>
                <w:color w:val="161616"/>
                <w:spacing w:val="1"/>
              </w:rPr>
              <w:t xml:space="preserve"> </w:t>
            </w:r>
            <w:r>
              <w:rPr>
                <w:color w:val="161616"/>
              </w:rPr>
              <w:t>and</w:t>
            </w:r>
            <w:r>
              <w:rPr>
                <w:color w:val="161616"/>
                <w:spacing w:val="-2"/>
              </w:rPr>
              <w:t xml:space="preserve"> </w:t>
            </w:r>
            <w:r>
              <w:rPr>
                <w:color w:val="161616"/>
              </w:rPr>
              <w:t>log</w:t>
            </w:r>
          </w:p>
          <w:p w14:paraId="391A2430" w14:textId="77777777" w:rsidR="00F43CB7" w:rsidRDefault="00000000">
            <w:pPr>
              <w:pStyle w:val="TableParagraph"/>
              <w:spacing w:line="252" w:lineRule="exact"/>
              <w:ind w:left="107"/>
            </w:pPr>
            <w:r>
              <w:rPr>
                <w:color w:val="161616"/>
              </w:rPr>
              <w:t>service.</w:t>
            </w:r>
          </w:p>
        </w:tc>
        <w:tc>
          <w:tcPr>
            <w:tcW w:w="4477" w:type="dxa"/>
          </w:tcPr>
          <w:p w14:paraId="3AEB28A5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83084C" w14:textId="77777777" w:rsidR="00F43CB7" w:rsidRDefault="00000000">
            <w:pPr>
              <w:pStyle w:val="TableParagraph"/>
              <w:spacing w:before="189"/>
              <w:ind w:left="107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Cognos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</w:p>
        </w:tc>
      </w:tr>
      <w:tr w:rsidR="00F43CB7" w14:paraId="0A1D7866" w14:textId="77777777">
        <w:trPr>
          <w:trHeight w:val="3583"/>
        </w:trPr>
        <w:tc>
          <w:tcPr>
            <w:tcW w:w="848" w:type="dxa"/>
          </w:tcPr>
          <w:p w14:paraId="64FC7955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C791CA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30B90B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37997C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08169E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588CCE" w14:textId="77777777" w:rsidR="00F43CB7" w:rsidRDefault="00F43CB7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2C1E99C6" w14:textId="77777777" w:rsidR="00F43CB7" w:rsidRDefault="00000000">
            <w:pPr>
              <w:pStyle w:val="TableParagraph"/>
              <w:ind w:right="262"/>
              <w:jc w:val="right"/>
            </w:pPr>
            <w:r>
              <w:t>3.</w:t>
            </w:r>
          </w:p>
        </w:tc>
        <w:tc>
          <w:tcPr>
            <w:tcW w:w="3260" w:type="dxa"/>
          </w:tcPr>
          <w:p w14:paraId="2CFDF9BA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6622246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DC998C5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F68007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9A6ACD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0027A5" w14:textId="77777777" w:rsidR="00F43CB7" w:rsidRDefault="00F43CB7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63FDB15E" w14:textId="77777777" w:rsidR="00F43CB7" w:rsidRDefault="00000000">
            <w:pPr>
              <w:pStyle w:val="TableParagraph"/>
              <w:ind w:left="107"/>
            </w:pPr>
            <w:r>
              <w:t>Availability</w:t>
            </w:r>
          </w:p>
        </w:tc>
        <w:tc>
          <w:tcPr>
            <w:tcW w:w="5957" w:type="dxa"/>
          </w:tcPr>
          <w:p w14:paraId="168A477B" w14:textId="77777777" w:rsidR="00F43CB7" w:rsidRDefault="00000000">
            <w:pPr>
              <w:pStyle w:val="TableParagraph"/>
              <w:spacing w:before="45"/>
              <w:ind w:left="107" w:right="268"/>
            </w:pPr>
            <w:r>
              <w:rPr>
                <w:color w:val="161616"/>
              </w:rPr>
              <w:t>All Web communication in IBM Cognos BI is through an</w:t>
            </w:r>
            <w:r>
              <w:rPr>
                <w:color w:val="161616"/>
                <w:spacing w:val="1"/>
              </w:rPr>
              <w:t xml:space="preserve"> </w:t>
            </w:r>
            <w:r>
              <w:rPr>
                <w:color w:val="161616"/>
              </w:rPr>
              <w:t>IBM Cognos BI gateway installed on a Web server. Each</w:t>
            </w:r>
            <w:r>
              <w:rPr>
                <w:color w:val="161616"/>
                <w:spacing w:val="-59"/>
              </w:rPr>
              <w:t xml:space="preserve"> </w:t>
            </w:r>
            <w:r>
              <w:rPr>
                <w:color w:val="161616"/>
              </w:rPr>
              <w:t>gateway can communicate with a single dispatcher in the</w:t>
            </w:r>
            <w:r>
              <w:rPr>
                <w:color w:val="161616"/>
                <w:spacing w:val="-59"/>
              </w:rPr>
              <w:t xml:space="preserve"> </w:t>
            </w:r>
            <w:r>
              <w:rPr>
                <w:color w:val="161616"/>
              </w:rPr>
              <w:t>applications</w:t>
            </w:r>
            <w:r>
              <w:rPr>
                <w:color w:val="161616"/>
                <w:spacing w:val="-1"/>
              </w:rPr>
              <w:t xml:space="preserve"> </w:t>
            </w:r>
            <w:r>
              <w:rPr>
                <w:color w:val="161616"/>
              </w:rPr>
              <w:t>tier.</w:t>
            </w:r>
          </w:p>
          <w:p w14:paraId="51E4F57A" w14:textId="77777777" w:rsidR="00F43CB7" w:rsidRDefault="00F43CB7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57AA2136" w14:textId="77777777" w:rsidR="00F43CB7" w:rsidRDefault="00000000">
            <w:pPr>
              <w:pStyle w:val="TableParagraph"/>
              <w:ind w:left="107" w:right="218"/>
            </w:pPr>
            <w:r>
              <w:rPr>
                <w:color w:val="161616"/>
              </w:rPr>
              <w:t>The IBM Cognos Business Intelligence server contains</w:t>
            </w:r>
            <w:r>
              <w:rPr>
                <w:color w:val="161616"/>
                <w:spacing w:val="1"/>
              </w:rPr>
              <w:t xml:space="preserve"> </w:t>
            </w:r>
            <w:r>
              <w:rPr>
                <w:color w:val="161616"/>
              </w:rPr>
              <w:t>Content Manager to store and manage information, and a</w:t>
            </w:r>
            <w:r>
              <w:rPr>
                <w:color w:val="161616"/>
                <w:spacing w:val="-60"/>
              </w:rPr>
              <w:t xml:space="preserve"> </w:t>
            </w:r>
            <w:r>
              <w:rPr>
                <w:color w:val="161616"/>
              </w:rPr>
              <w:t>dispatcher to start IBM Cognos services and route</w:t>
            </w:r>
            <w:r>
              <w:rPr>
                <w:color w:val="161616"/>
                <w:spacing w:val="1"/>
              </w:rPr>
              <w:t xml:space="preserve"> </w:t>
            </w:r>
            <w:r>
              <w:rPr>
                <w:color w:val="161616"/>
              </w:rPr>
              <w:t>requests.</w:t>
            </w:r>
          </w:p>
          <w:p w14:paraId="34C8F0EE" w14:textId="77777777" w:rsidR="00F43CB7" w:rsidRDefault="00F43CB7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14:paraId="1BCFABE9" w14:textId="77777777" w:rsidR="00F43CB7" w:rsidRDefault="00000000">
            <w:pPr>
              <w:pStyle w:val="TableParagraph"/>
              <w:spacing w:line="256" w:lineRule="auto"/>
              <w:ind w:left="107" w:right="97"/>
            </w:pPr>
            <w:r>
              <w:rPr>
                <w:color w:val="161616"/>
              </w:rPr>
              <w:t>Content Manager writes to the content store RDBMS using</w:t>
            </w:r>
            <w:r>
              <w:rPr>
                <w:color w:val="161616"/>
                <w:spacing w:val="-59"/>
              </w:rPr>
              <w:t xml:space="preserve"> </w:t>
            </w:r>
            <w:r>
              <w:rPr>
                <w:color w:val="161616"/>
              </w:rPr>
              <w:t>proper</w:t>
            </w:r>
            <w:r>
              <w:rPr>
                <w:color w:val="161616"/>
                <w:spacing w:val="-3"/>
              </w:rPr>
              <w:t xml:space="preserve"> </w:t>
            </w:r>
            <w:r>
              <w:rPr>
                <w:color w:val="161616"/>
              </w:rPr>
              <w:t>relational</w:t>
            </w:r>
            <w:r>
              <w:rPr>
                <w:color w:val="161616"/>
                <w:spacing w:val="-3"/>
              </w:rPr>
              <w:t xml:space="preserve"> </w:t>
            </w:r>
            <w:r>
              <w:rPr>
                <w:color w:val="161616"/>
              </w:rPr>
              <w:t>transactions.</w:t>
            </w:r>
            <w:r>
              <w:rPr>
                <w:color w:val="161616"/>
                <w:spacing w:val="1"/>
              </w:rPr>
              <w:t xml:space="preserve"> </w:t>
            </w:r>
            <w:r>
              <w:rPr>
                <w:color w:val="161616"/>
              </w:rPr>
              <w:t>Standard DB</w:t>
            </w:r>
            <w:r>
              <w:rPr>
                <w:color w:val="161616"/>
                <w:spacing w:val="-3"/>
              </w:rPr>
              <w:t xml:space="preserve"> </w:t>
            </w:r>
            <w:r>
              <w:rPr>
                <w:color w:val="161616"/>
              </w:rPr>
              <w:t>tools</w:t>
            </w:r>
            <w:r>
              <w:rPr>
                <w:color w:val="161616"/>
                <w:spacing w:val="-3"/>
              </w:rPr>
              <w:t xml:space="preserve"> </w:t>
            </w:r>
            <w:r>
              <w:rPr>
                <w:color w:val="161616"/>
              </w:rPr>
              <w:t>can be</w:t>
            </w:r>
          </w:p>
          <w:p w14:paraId="0902CE22" w14:textId="77777777" w:rsidR="00F43CB7" w:rsidRDefault="00000000">
            <w:pPr>
              <w:pStyle w:val="TableParagraph"/>
              <w:spacing w:before="3"/>
              <w:ind w:left="107"/>
            </w:pPr>
            <w:r>
              <w:rPr>
                <w:color w:val="161616"/>
              </w:rPr>
              <w:t>used</w:t>
            </w:r>
            <w:r>
              <w:rPr>
                <w:color w:val="161616"/>
                <w:spacing w:val="-1"/>
              </w:rPr>
              <w:t xml:space="preserve"> </w:t>
            </w:r>
            <w:r>
              <w:rPr>
                <w:color w:val="161616"/>
              </w:rPr>
              <w:t>for</w:t>
            </w:r>
            <w:r>
              <w:rPr>
                <w:color w:val="161616"/>
                <w:spacing w:val="-1"/>
              </w:rPr>
              <w:t xml:space="preserve"> </w:t>
            </w:r>
            <w:r>
              <w:rPr>
                <w:color w:val="161616"/>
              </w:rPr>
              <w:t>backing</w:t>
            </w:r>
            <w:r>
              <w:rPr>
                <w:color w:val="161616"/>
                <w:spacing w:val="-1"/>
              </w:rPr>
              <w:t xml:space="preserve"> </w:t>
            </w:r>
            <w:r>
              <w:rPr>
                <w:color w:val="161616"/>
              </w:rPr>
              <w:t>up</w:t>
            </w:r>
            <w:r>
              <w:rPr>
                <w:color w:val="161616"/>
                <w:spacing w:val="-1"/>
              </w:rPr>
              <w:t xml:space="preserve"> </w:t>
            </w:r>
            <w:r>
              <w:rPr>
                <w:color w:val="161616"/>
              </w:rPr>
              <w:t>and</w:t>
            </w:r>
            <w:r>
              <w:rPr>
                <w:color w:val="161616"/>
                <w:spacing w:val="-4"/>
              </w:rPr>
              <w:t xml:space="preserve"> </w:t>
            </w:r>
            <w:r>
              <w:rPr>
                <w:color w:val="161616"/>
              </w:rPr>
              <w:t>restoring</w:t>
            </w:r>
            <w:r>
              <w:rPr>
                <w:color w:val="161616"/>
                <w:spacing w:val="-1"/>
              </w:rPr>
              <w:t xml:space="preserve"> </w:t>
            </w:r>
            <w:r>
              <w:rPr>
                <w:color w:val="161616"/>
              </w:rPr>
              <w:t>the</w:t>
            </w:r>
            <w:r>
              <w:rPr>
                <w:color w:val="161616"/>
                <w:spacing w:val="-3"/>
              </w:rPr>
              <w:t xml:space="preserve"> </w:t>
            </w:r>
            <w:r>
              <w:rPr>
                <w:color w:val="161616"/>
              </w:rPr>
              <w:t>content</w:t>
            </w:r>
            <w:r>
              <w:rPr>
                <w:color w:val="161616"/>
                <w:spacing w:val="-2"/>
              </w:rPr>
              <w:t xml:space="preserve"> </w:t>
            </w:r>
            <w:r>
              <w:rPr>
                <w:color w:val="161616"/>
              </w:rPr>
              <w:t>store.</w:t>
            </w:r>
          </w:p>
        </w:tc>
        <w:tc>
          <w:tcPr>
            <w:tcW w:w="4477" w:type="dxa"/>
          </w:tcPr>
          <w:p w14:paraId="4BAAA294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2BD264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33433B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1A726D9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48A0256" w14:textId="77777777" w:rsidR="00F43CB7" w:rsidRDefault="00F43CB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887D3A" w14:textId="77777777" w:rsidR="00F43CB7" w:rsidRDefault="00F43CB7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0838E7B3" w14:textId="77777777" w:rsidR="00F43CB7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Cognos BI</w:t>
            </w:r>
            <w:r>
              <w:rPr>
                <w:spacing w:val="-2"/>
              </w:rPr>
              <w:t xml:space="preserve"> </w:t>
            </w:r>
            <w:r>
              <w:t>gateway,</w:t>
            </w:r>
            <w:r>
              <w:rPr>
                <w:spacing w:val="-2"/>
              </w:rPr>
              <w:t xml:space="preserve"> </w:t>
            </w:r>
            <w:r>
              <w:t>dispatchers,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43CB7" w14:paraId="4566D0D3" w14:textId="77777777">
        <w:trPr>
          <w:trHeight w:val="391"/>
        </w:trPr>
        <w:tc>
          <w:tcPr>
            <w:tcW w:w="848" w:type="dxa"/>
          </w:tcPr>
          <w:p w14:paraId="27A0A7A4" w14:textId="77777777" w:rsidR="00F43CB7" w:rsidRDefault="00000000">
            <w:pPr>
              <w:pStyle w:val="TableParagraph"/>
              <w:spacing w:before="51"/>
              <w:ind w:right="262"/>
              <w:jc w:val="right"/>
            </w:pPr>
            <w:r>
              <w:t>4.</w:t>
            </w:r>
          </w:p>
        </w:tc>
        <w:tc>
          <w:tcPr>
            <w:tcW w:w="3260" w:type="dxa"/>
          </w:tcPr>
          <w:p w14:paraId="594BF619" w14:textId="77777777" w:rsidR="00F43CB7" w:rsidRDefault="00000000">
            <w:pPr>
              <w:pStyle w:val="TableParagraph"/>
              <w:spacing w:before="51"/>
              <w:ind w:left="107"/>
            </w:pPr>
            <w:r>
              <w:t>Performance</w:t>
            </w:r>
          </w:p>
        </w:tc>
        <w:tc>
          <w:tcPr>
            <w:tcW w:w="5957" w:type="dxa"/>
          </w:tcPr>
          <w:p w14:paraId="522D0DC6" w14:textId="77777777" w:rsidR="00F43CB7" w:rsidRDefault="00000000">
            <w:pPr>
              <w:pStyle w:val="TableParagraph"/>
              <w:spacing w:before="51"/>
              <w:ind w:left="107"/>
            </w:pPr>
            <w:r>
              <w:t>Size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analysed is very large</w:t>
            </w:r>
          </w:p>
        </w:tc>
        <w:tc>
          <w:tcPr>
            <w:tcW w:w="4477" w:type="dxa"/>
          </w:tcPr>
          <w:p w14:paraId="257645F7" w14:textId="77777777" w:rsidR="00F43CB7" w:rsidRDefault="00000000">
            <w:pPr>
              <w:pStyle w:val="TableParagraph"/>
              <w:spacing w:before="51"/>
              <w:ind w:left="107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Cognos</w:t>
            </w:r>
            <w:r>
              <w:rPr>
                <w:spacing w:val="-1"/>
              </w:rPr>
              <w:t xml:space="preserve"> </w:t>
            </w:r>
            <w:r>
              <w:t>content</w:t>
            </w:r>
            <w:r>
              <w:rPr>
                <w:spacing w:val="-2"/>
              </w:rPr>
              <w:t xml:space="preserve"> </w:t>
            </w:r>
            <w:r>
              <w:t>store</w:t>
            </w:r>
          </w:p>
        </w:tc>
      </w:tr>
    </w:tbl>
    <w:p w14:paraId="1465FC0E" w14:textId="77777777" w:rsidR="00C84E20" w:rsidRDefault="00C84E20"/>
    <w:sectPr w:rsidR="00C84E20">
      <w:pgSz w:w="1684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AEE"/>
    <w:multiLevelType w:val="hybridMultilevel"/>
    <w:tmpl w:val="04BCF152"/>
    <w:lvl w:ilvl="0" w:tplc="6BD422CA">
      <w:start w:val="1"/>
      <w:numFmt w:val="decimal"/>
      <w:lvlText w:val="%1."/>
      <w:lvlJc w:val="left"/>
      <w:pPr>
        <w:ind w:left="353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734C848">
      <w:numFmt w:val="bullet"/>
      <w:lvlText w:val="•"/>
      <w:lvlJc w:val="left"/>
      <w:pPr>
        <w:ind w:left="921" w:hanging="245"/>
      </w:pPr>
      <w:rPr>
        <w:rFonts w:hint="default"/>
        <w:lang w:val="en-US" w:eastAsia="en-US" w:bidi="ar-SA"/>
      </w:rPr>
    </w:lvl>
    <w:lvl w:ilvl="2" w:tplc="00481D2A">
      <w:numFmt w:val="bullet"/>
      <w:lvlText w:val="•"/>
      <w:lvlJc w:val="left"/>
      <w:pPr>
        <w:ind w:left="1482" w:hanging="245"/>
      </w:pPr>
      <w:rPr>
        <w:rFonts w:hint="default"/>
        <w:lang w:val="en-US" w:eastAsia="en-US" w:bidi="ar-SA"/>
      </w:rPr>
    </w:lvl>
    <w:lvl w:ilvl="3" w:tplc="5AC81066">
      <w:numFmt w:val="bullet"/>
      <w:lvlText w:val="•"/>
      <w:lvlJc w:val="left"/>
      <w:pPr>
        <w:ind w:left="2043" w:hanging="245"/>
      </w:pPr>
      <w:rPr>
        <w:rFonts w:hint="default"/>
        <w:lang w:val="en-US" w:eastAsia="en-US" w:bidi="ar-SA"/>
      </w:rPr>
    </w:lvl>
    <w:lvl w:ilvl="4" w:tplc="8E8E67F6">
      <w:numFmt w:val="bullet"/>
      <w:lvlText w:val="•"/>
      <w:lvlJc w:val="left"/>
      <w:pPr>
        <w:ind w:left="2605" w:hanging="245"/>
      </w:pPr>
      <w:rPr>
        <w:rFonts w:hint="default"/>
        <w:lang w:val="en-US" w:eastAsia="en-US" w:bidi="ar-SA"/>
      </w:rPr>
    </w:lvl>
    <w:lvl w:ilvl="5" w:tplc="A5FA00B4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6" w:tplc="31FAAF66">
      <w:numFmt w:val="bullet"/>
      <w:lvlText w:val="•"/>
      <w:lvlJc w:val="left"/>
      <w:pPr>
        <w:ind w:left="3727" w:hanging="245"/>
      </w:pPr>
      <w:rPr>
        <w:rFonts w:hint="default"/>
        <w:lang w:val="en-US" w:eastAsia="en-US" w:bidi="ar-SA"/>
      </w:rPr>
    </w:lvl>
    <w:lvl w:ilvl="7" w:tplc="755E36AC">
      <w:numFmt w:val="bullet"/>
      <w:lvlText w:val="•"/>
      <w:lvlJc w:val="left"/>
      <w:pPr>
        <w:ind w:left="4289" w:hanging="245"/>
      </w:pPr>
      <w:rPr>
        <w:rFonts w:hint="default"/>
        <w:lang w:val="en-US" w:eastAsia="en-US" w:bidi="ar-SA"/>
      </w:rPr>
    </w:lvl>
    <w:lvl w:ilvl="8" w:tplc="C93C8448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CA812C6"/>
    <w:multiLevelType w:val="hybridMultilevel"/>
    <w:tmpl w:val="F440CC9C"/>
    <w:lvl w:ilvl="0" w:tplc="27DC8932">
      <w:start w:val="1"/>
      <w:numFmt w:val="decimal"/>
      <w:lvlText w:val="%1."/>
      <w:lvlJc w:val="left"/>
      <w:pPr>
        <w:ind w:left="355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27C0AAE">
      <w:numFmt w:val="bullet"/>
      <w:lvlText w:val="•"/>
      <w:lvlJc w:val="left"/>
      <w:pPr>
        <w:ind w:left="921" w:hanging="248"/>
      </w:pPr>
      <w:rPr>
        <w:rFonts w:hint="default"/>
        <w:lang w:val="en-US" w:eastAsia="en-US" w:bidi="ar-SA"/>
      </w:rPr>
    </w:lvl>
    <w:lvl w:ilvl="2" w:tplc="FCC472A0">
      <w:numFmt w:val="bullet"/>
      <w:lvlText w:val="•"/>
      <w:lvlJc w:val="left"/>
      <w:pPr>
        <w:ind w:left="1482" w:hanging="248"/>
      </w:pPr>
      <w:rPr>
        <w:rFonts w:hint="default"/>
        <w:lang w:val="en-US" w:eastAsia="en-US" w:bidi="ar-SA"/>
      </w:rPr>
    </w:lvl>
    <w:lvl w:ilvl="3" w:tplc="E0060510">
      <w:numFmt w:val="bullet"/>
      <w:lvlText w:val="•"/>
      <w:lvlJc w:val="left"/>
      <w:pPr>
        <w:ind w:left="2043" w:hanging="248"/>
      </w:pPr>
      <w:rPr>
        <w:rFonts w:hint="default"/>
        <w:lang w:val="en-US" w:eastAsia="en-US" w:bidi="ar-SA"/>
      </w:rPr>
    </w:lvl>
    <w:lvl w:ilvl="4" w:tplc="B92433BA">
      <w:numFmt w:val="bullet"/>
      <w:lvlText w:val="•"/>
      <w:lvlJc w:val="left"/>
      <w:pPr>
        <w:ind w:left="2605" w:hanging="248"/>
      </w:pPr>
      <w:rPr>
        <w:rFonts w:hint="default"/>
        <w:lang w:val="en-US" w:eastAsia="en-US" w:bidi="ar-SA"/>
      </w:rPr>
    </w:lvl>
    <w:lvl w:ilvl="5" w:tplc="DCE4ACE0">
      <w:numFmt w:val="bullet"/>
      <w:lvlText w:val="•"/>
      <w:lvlJc w:val="left"/>
      <w:pPr>
        <w:ind w:left="3166" w:hanging="248"/>
      </w:pPr>
      <w:rPr>
        <w:rFonts w:hint="default"/>
        <w:lang w:val="en-US" w:eastAsia="en-US" w:bidi="ar-SA"/>
      </w:rPr>
    </w:lvl>
    <w:lvl w:ilvl="6" w:tplc="9B8A8E08">
      <w:numFmt w:val="bullet"/>
      <w:lvlText w:val="•"/>
      <w:lvlJc w:val="left"/>
      <w:pPr>
        <w:ind w:left="3727" w:hanging="248"/>
      </w:pPr>
      <w:rPr>
        <w:rFonts w:hint="default"/>
        <w:lang w:val="en-US" w:eastAsia="en-US" w:bidi="ar-SA"/>
      </w:rPr>
    </w:lvl>
    <w:lvl w:ilvl="7" w:tplc="57500676">
      <w:numFmt w:val="bullet"/>
      <w:lvlText w:val="•"/>
      <w:lvlJc w:val="left"/>
      <w:pPr>
        <w:ind w:left="4289" w:hanging="248"/>
      </w:pPr>
      <w:rPr>
        <w:rFonts w:hint="default"/>
        <w:lang w:val="en-US" w:eastAsia="en-US" w:bidi="ar-SA"/>
      </w:rPr>
    </w:lvl>
    <w:lvl w:ilvl="8" w:tplc="201E6206">
      <w:numFmt w:val="bullet"/>
      <w:lvlText w:val="•"/>
      <w:lvlJc w:val="left"/>
      <w:pPr>
        <w:ind w:left="4850" w:hanging="248"/>
      </w:pPr>
      <w:rPr>
        <w:rFonts w:hint="default"/>
        <w:lang w:val="en-US" w:eastAsia="en-US" w:bidi="ar-SA"/>
      </w:rPr>
    </w:lvl>
  </w:abstractNum>
  <w:num w:numId="1" w16cid:durableId="293483786">
    <w:abstractNumId w:val="0"/>
  </w:num>
  <w:num w:numId="2" w16cid:durableId="111532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3CB7"/>
    <w:rsid w:val="00A96CAE"/>
    <w:rsid w:val="00C84E20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7804877"/>
  <w15:docId w15:val="{4D9256D4-F7CA-4A1D-9307-820B7D59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67" w:right="5063" w:firstLine="97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G</cp:lastModifiedBy>
  <cp:revision>3</cp:revision>
  <dcterms:created xsi:type="dcterms:W3CDTF">2022-11-08T04:57:00Z</dcterms:created>
  <dcterms:modified xsi:type="dcterms:W3CDTF">2022-11-08T04:59:00Z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