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117EA9" w:rsidP="005C23C7">
            <w:r>
              <w:t>PNT2022TMID31903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117EA9" w:rsidP="005C23C7">
            <w:r>
              <w:t>Analytics for hospitals’ health care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667375" cy="4619625"/>
            <wp:effectExtent l="1905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539" cy="46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6229350" cy="4943475"/>
            <wp:effectExtent l="19050" t="0" r="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117EA9" w:rsidRDefault="00117EA9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5998773" cy="4905375"/>
            <wp:effectExtent l="19050" t="0" r="1977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894" cy="49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17EA9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9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25</cp:revision>
  <cp:lastPrinted>2022-09-19T03:34:00Z</cp:lastPrinted>
  <dcterms:created xsi:type="dcterms:W3CDTF">2022-09-18T16:51:00Z</dcterms:created>
  <dcterms:modified xsi:type="dcterms:W3CDTF">2022-09-30T09:48:00Z</dcterms:modified>
</cp:coreProperties>
</file>