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pict>
          <v:rect style="position:absolute;margin-left:70.559998pt;margin-top:33.849995pt;width:470.88pt;height:.96pt;mso-position-horizontal-relative:page;mso-position-vertical-relative:paragraph;z-index:-15728640;mso-wrap-distance-left:0;mso-wrap-distance-right:0" filled="true" fillcolor="#4f80bc" stroked="false">
            <v:fill type="solid"/>
            <w10:wrap type="topAndBottom"/>
          </v:rect>
        </w:pict>
      </w:r>
      <w:r>
        <w:rPr>
          <w:color w:val="16365D"/>
        </w:rPr>
        <w:t>LITERATURE SURVEY</w:t>
      </w:r>
    </w:p>
    <w:p>
      <w:pPr>
        <w:pStyle w:val="BodyText"/>
        <w:rPr>
          <w:rFonts w:ascii="Caladea"/>
          <w:sz w:val="20"/>
        </w:rPr>
      </w:pPr>
    </w:p>
    <w:p>
      <w:pPr>
        <w:pStyle w:val="Heading1"/>
        <w:spacing w:before="217"/>
        <w:rPr>
          <w:sz w:val="36"/>
        </w:rPr>
      </w:pPr>
      <w:r>
        <w:rPr>
          <w:color w:val="365E90"/>
        </w:rPr>
        <w:t>ABSTRACT</w:t>
      </w:r>
      <w:r>
        <w:rPr>
          <w:color w:val="365E90"/>
          <w:sz w:val="36"/>
        </w:rPr>
        <w:t>:</w:t>
      </w:r>
    </w:p>
    <w:p>
      <w:pPr>
        <w:pStyle w:val="BodyText"/>
        <w:spacing w:line="276" w:lineRule="auto" w:before="55"/>
        <w:ind w:left="460" w:right="187" w:firstLine="998"/>
      </w:pPr>
      <w:r>
        <w:rPr>
          <w:color w:val="333333"/>
        </w:rPr>
        <w:t>The current study performs a systematic literature review (SLR) to synthesis prior research on the applicability of big data analytics (BDA) in healthcare. The SLR examines the outcomes of 41 studies, and presents them in a comprehensive framework. The findings from this study suggest that applications of BDA in healthcare can be observed from five perspectives, namely, health awareness among the general public, interactions among stakeholders in the healthcare ecosystem, hospital management practices, treatment of specific medical conditions, and technology in healthcare service delivery. This SLR recommends actionable future research agendas for scholars and valuable implications for theory and practice</w:t>
      </w:r>
    </w:p>
    <w:p>
      <w:pPr>
        <w:pStyle w:val="BodyText"/>
        <w:spacing w:before="3"/>
        <w:rPr>
          <w:sz w:val="42"/>
        </w:rPr>
      </w:pPr>
    </w:p>
    <w:p>
      <w:pPr>
        <w:pStyle w:val="Heading1"/>
      </w:pPr>
      <w:r>
        <w:rPr>
          <w:color w:val="365E90"/>
        </w:rPr>
        <w:t>KEYWORDS:</w:t>
      </w:r>
    </w:p>
    <w:p>
      <w:pPr>
        <w:pStyle w:val="ListParagraph"/>
        <w:numPr>
          <w:ilvl w:val="0"/>
          <w:numId w:val="1"/>
        </w:numPr>
        <w:tabs>
          <w:tab w:pos="1211" w:val="left" w:leader="none"/>
          <w:tab w:pos="1212" w:val="left" w:leader="none"/>
        </w:tabs>
        <w:spacing w:line="240" w:lineRule="auto" w:before="48" w:after="0"/>
        <w:ind w:left="1211" w:right="0" w:hanging="361"/>
        <w:jc w:val="left"/>
        <w:rPr>
          <w:sz w:val="28"/>
        </w:rPr>
      </w:pPr>
      <w:r>
        <w:rPr>
          <w:sz w:val="28"/>
        </w:rPr>
        <w:t>Big</w:t>
      </w:r>
      <w:r>
        <w:rPr>
          <w:spacing w:val="1"/>
          <w:sz w:val="28"/>
        </w:rPr>
        <w:t> </w:t>
      </w:r>
      <w:r>
        <w:rPr>
          <w:sz w:val="28"/>
        </w:rPr>
        <w:t>Data</w:t>
      </w:r>
    </w:p>
    <w:p>
      <w:pPr>
        <w:pStyle w:val="ListParagraph"/>
        <w:numPr>
          <w:ilvl w:val="0"/>
          <w:numId w:val="1"/>
        </w:numPr>
        <w:tabs>
          <w:tab w:pos="1211" w:val="left" w:leader="none"/>
          <w:tab w:pos="1212" w:val="left" w:leader="none"/>
        </w:tabs>
        <w:spacing w:line="240" w:lineRule="auto" w:before="49" w:after="0"/>
        <w:ind w:left="1211" w:right="0" w:hanging="361"/>
        <w:jc w:val="left"/>
        <w:rPr>
          <w:sz w:val="28"/>
        </w:rPr>
      </w:pPr>
      <w:r>
        <w:rPr>
          <w:sz w:val="28"/>
        </w:rPr>
        <w:t>Analytics</w:t>
      </w:r>
    </w:p>
    <w:p>
      <w:pPr>
        <w:pStyle w:val="ListParagraph"/>
        <w:numPr>
          <w:ilvl w:val="0"/>
          <w:numId w:val="1"/>
        </w:numPr>
        <w:tabs>
          <w:tab w:pos="1211" w:val="left" w:leader="none"/>
          <w:tab w:pos="1212" w:val="left" w:leader="none"/>
        </w:tabs>
        <w:spacing w:line="240" w:lineRule="auto" w:before="48" w:after="0"/>
        <w:ind w:left="1211" w:right="0" w:hanging="361"/>
        <w:jc w:val="left"/>
        <w:rPr>
          <w:sz w:val="28"/>
        </w:rPr>
      </w:pPr>
      <w:r>
        <w:rPr>
          <w:sz w:val="28"/>
        </w:rPr>
        <w:t>Healthcare</w:t>
      </w:r>
    </w:p>
    <w:p>
      <w:pPr>
        <w:pStyle w:val="ListParagraph"/>
        <w:numPr>
          <w:ilvl w:val="0"/>
          <w:numId w:val="1"/>
        </w:numPr>
        <w:tabs>
          <w:tab w:pos="1211" w:val="left" w:leader="none"/>
          <w:tab w:pos="1212" w:val="left" w:leader="none"/>
        </w:tabs>
        <w:spacing w:line="240" w:lineRule="auto" w:before="46" w:after="0"/>
        <w:ind w:left="1211" w:right="0" w:hanging="361"/>
        <w:jc w:val="left"/>
        <w:rPr>
          <w:sz w:val="28"/>
        </w:rPr>
      </w:pPr>
      <w:r>
        <w:rPr>
          <w:sz w:val="28"/>
        </w:rPr>
        <w:t>Hospital</w:t>
      </w:r>
      <w:r>
        <w:rPr>
          <w:spacing w:val="-1"/>
          <w:sz w:val="28"/>
        </w:rPr>
        <w:t> </w:t>
      </w:r>
      <w:r>
        <w:rPr>
          <w:sz w:val="28"/>
        </w:rPr>
        <w:t>Management</w:t>
      </w:r>
    </w:p>
    <w:p>
      <w:pPr>
        <w:pStyle w:val="ListParagraph"/>
        <w:numPr>
          <w:ilvl w:val="0"/>
          <w:numId w:val="1"/>
        </w:numPr>
        <w:tabs>
          <w:tab w:pos="1211" w:val="left" w:leader="none"/>
          <w:tab w:pos="1212" w:val="left" w:leader="none"/>
        </w:tabs>
        <w:spacing w:line="240" w:lineRule="auto" w:before="48" w:after="0"/>
        <w:ind w:left="1211" w:right="0" w:hanging="361"/>
        <w:jc w:val="left"/>
        <w:rPr>
          <w:sz w:val="28"/>
        </w:rPr>
      </w:pPr>
      <w:r>
        <w:rPr>
          <w:sz w:val="28"/>
        </w:rPr>
        <w:t>Medical</w:t>
      </w:r>
      <w:r>
        <w:rPr>
          <w:spacing w:val="66"/>
          <w:sz w:val="28"/>
        </w:rPr>
        <w:t> </w:t>
      </w:r>
      <w:r>
        <w:rPr>
          <w:sz w:val="28"/>
        </w:rPr>
        <w:t>Informatics</w:t>
      </w:r>
    </w:p>
    <w:p>
      <w:pPr>
        <w:pStyle w:val="ListParagraph"/>
        <w:numPr>
          <w:ilvl w:val="0"/>
          <w:numId w:val="1"/>
        </w:numPr>
        <w:tabs>
          <w:tab w:pos="1211" w:val="left" w:leader="none"/>
          <w:tab w:pos="1212" w:val="left" w:leader="none"/>
        </w:tabs>
        <w:spacing w:line="240" w:lineRule="auto" w:before="48" w:after="0"/>
        <w:ind w:left="1211" w:right="0" w:hanging="361"/>
        <w:jc w:val="left"/>
        <w:rPr>
          <w:sz w:val="28"/>
        </w:rPr>
      </w:pPr>
      <w:r>
        <w:rPr>
          <w:sz w:val="28"/>
        </w:rPr>
        <w:t>Systematic literature review:</w:t>
      </w:r>
      <w:r>
        <w:rPr>
          <w:spacing w:val="-3"/>
          <w:sz w:val="28"/>
        </w:rPr>
        <w:t> </w:t>
      </w:r>
      <w:r>
        <w:rPr>
          <w:sz w:val="28"/>
        </w:rPr>
        <w:t>covid-19</w:t>
      </w:r>
    </w:p>
    <w:p>
      <w:pPr>
        <w:pStyle w:val="BodyText"/>
        <w:spacing w:before="2"/>
        <w:rPr>
          <w:sz w:val="46"/>
        </w:rPr>
      </w:pPr>
    </w:p>
    <w:p>
      <w:pPr>
        <w:spacing w:before="1"/>
        <w:ind w:left="460" w:right="0" w:firstLine="0"/>
        <w:jc w:val="left"/>
        <w:rPr>
          <w:rFonts w:ascii="Caladea"/>
          <w:b/>
          <w:sz w:val="28"/>
        </w:rPr>
      </w:pPr>
      <w:r>
        <w:rPr>
          <w:rFonts w:ascii="Caladea"/>
          <w:b/>
          <w:color w:val="365E90"/>
          <w:sz w:val="28"/>
        </w:rPr>
        <w:t>INTRODUCTION:</w:t>
      </w:r>
    </w:p>
    <w:p>
      <w:pPr>
        <w:pStyle w:val="BodyText"/>
        <w:spacing w:line="276" w:lineRule="auto" w:before="46"/>
        <w:ind w:left="460" w:right="151" w:firstLine="648"/>
      </w:pPr>
      <w:r>
        <w:rPr>
          <w:color w:val="333333"/>
        </w:rPr>
        <w:t>Balamurugan</w:t>
      </w:r>
      <w:r>
        <w:rPr>
          <w:color w:val="0F137E"/>
          <w:u w:val="single" w:color="0F137E"/>
        </w:rPr>
        <w:t> 2016</w:t>
      </w:r>
      <w:r>
        <w:rPr>
          <w:color w:val="333333"/>
        </w:rPr>
        <w:t>; Weng and Kahn</w:t>
      </w:r>
      <w:r>
        <w:rPr>
          <w:color w:val="0F137E"/>
          <w:u w:val="single" w:color="0F137E"/>
        </w:rPr>
        <w:t> 2016</w:t>
      </w:r>
      <w:r>
        <w:rPr>
          <w:color w:val="0F137E"/>
        </w:rPr>
        <w:t> </w:t>
      </w:r>
      <w:r>
        <w:rPr>
          <w:color w:val="333333"/>
        </w:rPr>
        <w:t>Healthcare enterprises search for suitable technologies to streamline resources for the sake of improving the patient experience and organisational performance (Tang et al.</w:t>
      </w:r>
      <w:r>
        <w:rPr>
          <w:color w:val="0F137E"/>
          <w:u w:val="single" w:color="0F137E"/>
        </w:rPr>
        <w:t> 2019</w:t>
      </w:r>
      <w:r>
        <w:rPr>
          <w:color w:val="333333"/>
        </w:rPr>
        <w:t>; Wang, Kung, and Byrd</w:t>
      </w:r>
      <w:r>
        <w:rPr>
          <w:color w:val="0F137E"/>
          <w:u w:val="single" w:color="0F137E"/>
        </w:rPr>
        <w:t> 2018</w:t>
      </w:r>
      <w:r>
        <w:rPr>
          <w:color w:val="333333"/>
        </w:rPr>
        <w:t>; Tandon et al.</w:t>
      </w:r>
      <w:r>
        <w:rPr>
          <w:color w:val="0F137E"/>
          <w:u w:val="single" w:color="0F137E"/>
        </w:rPr>
        <w:t> 2020</w:t>
      </w:r>
      <w:r>
        <w:rPr>
          <w:color w:val="333333"/>
        </w:rPr>
        <w:t>). Healthcare can be conceptualised as a system comprising three constituent parts: (a) core providers of medical care services, such as physicians, nurses, technicians, and hospital administrations (Boudhir, Ben Ahmed, and Soumaya</w:t>
      </w:r>
      <w:r>
        <w:rPr>
          <w:color w:val="0F137E"/>
          <w:u w:val="single" w:color="0F137E"/>
        </w:rPr>
        <w:t> 2017</w:t>
      </w:r>
      <w:r>
        <w:rPr>
          <w:color w:val="333333"/>
        </w:rPr>
        <w:t>; Zhang, Simon, and Yu</w:t>
      </w:r>
      <w:r>
        <w:rPr>
          <w:color w:val="0F137E"/>
          <w:u w:val="single" w:color="0F137E"/>
        </w:rPr>
        <w:t> 2017</w:t>
      </w:r>
      <w:r>
        <w:rPr>
          <w:color w:val="333333"/>
        </w:rPr>
        <w:t>); (b) critical services</w:t>
      </w:r>
      <w:r>
        <w:rPr>
          <w:color w:val="333333"/>
          <w:spacing w:val="-17"/>
        </w:rPr>
        <w:t> </w:t>
      </w:r>
      <w:r>
        <w:rPr>
          <w:color w:val="333333"/>
        </w:rPr>
        <w:t>that are associated with medical care services, such as medical research and</w:t>
      </w:r>
      <w:r>
        <w:rPr>
          <w:color w:val="333333"/>
          <w:spacing w:val="-18"/>
        </w:rPr>
        <w:t> </w:t>
      </w:r>
      <w:r>
        <w:rPr>
          <w:color w:val="333333"/>
        </w:rPr>
        <w:t>health</w:t>
      </w:r>
    </w:p>
    <w:p>
      <w:pPr>
        <w:spacing w:after="0" w:line="276" w:lineRule="auto"/>
        <w:sectPr>
          <w:type w:val="continuous"/>
          <w:pgSz w:w="12240" w:h="15840"/>
          <w:pgMar w:top="1360" w:bottom="280" w:left="980" w:right="1340"/>
        </w:sectPr>
      </w:pPr>
    </w:p>
    <w:p>
      <w:pPr>
        <w:pStyle w:val="BodyText"/>
        <w:spacing w:line="276" w:lineRule="auto" w:before="73"/>
        <w:ind w:left="460"/>
      </w:pPr>
      <w:r>
        <w:rPr>
          <w:color w:val="333333"/>
        </w:rPr>
        <w:t>insurance (Austin and Kusumoto</w:t>
      </w:r>
      <w:r>
        <w:rPr>
          <w:color w:val="0F137E"/>
          <w:u w:val="single" w:color="0F137E"/>
        </w:rPr>
        <w:t> 2016</w:t>
      </w:r>
      <w:r>
        <w:rPr>
          <w:color w:val="333333"/>
        </w:rPr>
        <w:t>; Chandola, Sukumar, and Schryver</w:t>
      </w:r>
      <w:r>
        <w:rPr>
          <w:color w:val="0F137E"/>
          <w:u w:val="single" w:color="0F137E"/>
        </w:rPr>
        <w:t> 2013</w:t>
      </w:r>
      <w:r>
        <w:rPr>
          <w:color w:val="333333"/>
        </w:rPr>
        <w:t>); and (c) beneficiaries of medical care services, i.e., patients and the public (Salomi).</w:t>
      </w:r>
    </w:p>
    <w:p>
      <w:pPr>
        <w:pStyle w:val="BodyText"/>
        <w:rPr>
          <w:sz w:val="30"/>
        </w:rPr>
      </w:pPr>
    </w:p>
    <w:p>
      <w:pPr>
        <w:pStyle w:val="BodyText"/>
        <w:rPr>
          <w:sz w:val="30"/>
        </w:rPr>
      </w:pPr>
    </w:p>
    <w:p>
      <w:pPr>
        <w:pStyle w:val="BodyText"/>
        <w:spacing w:before="6"/>
        <w:rPr>
          <w:sz w:val="26"/>
        </w:rPr>
      </w:pPr>
    </w:p>
    <w:p>
      <w:pPr>
        <w:spacing w:before="0"/>
        <w:ind w:left="584" w:right="0" w:firstLine="0"/>
        <w:jc w:val="left"/>
        <w:rPr>
          <w:rFonts w:ascii="Caladea"/>
          <w:sz w:val="32"/>
        </w:rPr>
      </w:pPr>
      <w:r>
        <w:rPr>
          <w:rFonts w:ascii="Caladea"/>
          <w:color w:val="365E90"/>
          <w:sz w:val="32"/>
        </w:rPr>
        <w:t>Big data in healthcare:</w:t>
      </w:r>
    </w:p>
    <w:p>
      <w:pPr>
        <w:pStyle w:val="BodyText"/>
        <w:spacing w:before="289"/>
        <w:ind w:left="460" w:firstLine="277"/>
      </w:pPr>
      <w:r>
        <w:rPr>
          <w:color w:val="333333"/>
        </w:rPr>
        <w:t>Applications of BDA in healthcare are gradually increasing with the growing volume of big data in this context (Galetsi and Katsaliaki</w:t>
      </w:r>
      <w:r>
        <w:rPr>
          <w:color w:val="0F137E"/>
          <w:u w:val="single" w:color="0F137E"/>
        </w:rPr>
        <w:t> 2019</w:t>
      </w:r>
      <w:r>
        <w:rPr>
          <w:color w:val="333333"/>
        </w:rPr>
        <w:t>; Kamble et</w:t>
      </w:r>
    </w:p>
    <w:p>
      <w:pPr>
        <w:pStyle w:val="BodyText"/>
        <w:spacing w:before="2"/>
        <w:ind w:left="460" w:right="173"/>
      </w:pPr>
      <w:r>
        <w:rPr>
          <w:color w:val="333333"/>
        </w:rPr>
        <w:t>al.</w:t>
      </w:r>
      <w:r>
        <w:rPr>
          <w:color w:val="0F137E"/>
          <w:u w:val="single" w:color="0F137E"/>
        </w:rPr>
        <w:t> 2019</w:t>
      </w:r>
      <w:r>
        <w:rPr>
          <w:color w:val="333333"/>
        </w:rPr>
        <w:t>). Among the possible sources of big data in healthcare are heterogeneous and multi-spectral observations, such as patient demographics (Malik, Abdallah, and Ala’raj</w:t>
      </w:r>
      <w:r>
        <w:rPr>
          <w:color w:val="0F137E"/>
          <w:u w:val="single" w:color="0F137E"/>
        </w:rPr>
        <w:t> 2018</w:t>
      </w:r>
      <w:r>
        <w:rPr>
          <w:color w:val="333333"/>
        </w:rPr>
        <w:t>), treatment history (Ozminkowski et al.</w:t>
      </w:r>
      <w:r>
        <w:rPr>
          <w:color w:val="0F137E"/>
          <w:u w:val="single" w:color="0F137E"/>
        </w:rPr>
        <w:t> 2015</w:t>
      </w:r>
      <w:r>
        <w:rPr>
          <w:color w:val="333333"/>
        </w:rPr>
        <w:t>), and diagnostic reports</w:t>
      </w:r>
      <w:r>
        <w:rPr>
          <w:color w:val="333333"/>
          <w:spacing w:val="-1"/>
        </w:rPr>
        <w:t> </w:t>
      </w:r>
      <w:r>
        <w:rPr>
          <w:color w:val="333333"/>
        </w:rPr>
        <w:t>(Amirian</w:t>
      </w:r>
      <w:r>
        <w:rPr>
          <w:color w:val="333333"/>
          <w:spacing w:val="-1"/>
        </w:rPr>
        <w:t> </w:t>
      </w:r>
      <w:r>
        <w:rPr>
          <w:color w:val="333333"/>
        </w:rPr>
        <w:t>et</w:t>
      </w:r>
      <w:r>
        <w:rPr>
          <w:color w:val="333333"/>
          <w:spacing w:val="-1"/>
        </w:rPr>
        <w:t> </w:t>
      </w:r>
      <w:r>
        <w:rPr>
          <w:color w:val="333333"/>
        </w:rPr>
        <w:t>al.</w:t>
      </w:r>
      <w:r>
        <w:rPr>
          <w:color w:val="0F137E"/>
          <w:u w:val="single" w:color="0F137E"/>
        </w:rPr>
        <w:t> 2017</w:t>
      </w:r>
      <w:r>
        <w:rPr>
          <w:color w:val="333333"/>
        </w:rPr>
        <w:t>).</w:t>
      </w:r>
      <w:r>
        <w:rPr>
          <w:color w:val="333333"/>
          <w:spacing w:val="-1"/>
        </w:rPr>
        <w:t> </w:t>
      </w:r>
      <w:r>
        <w:rPr>
          <w:color w:val="333333"/>
        </w:rPr>
        <w:t>Mehta</w:t>
      </w:r>
      <w:r>
        <w:rPr>
          <w:color w:val="333333"/>
          <w:spacing w:val="-1"/>
        </w:rPr>
        <w:t> </w:t>
      </w:r>
      <w:r>
        <w:rPr>
          <w:color w:val="333333"/>
        </w:rPr>
        <w:t>and</w:t>
      </w:r>
      <w:r>
        <w:rPr>
          <w:color w:val="333333"/>
          <w:spacing w:val="-1"/>
        </w:rPr>
        <w:t> </w:t>
      </w:r>
      <w:r>
        <w:rPr>
          <w:color w:val="333333"/>
        </w:rPr>
        <w:t>Pandit</w:t>
      </w:r>
      <w:r>
        <w:rPr>
          <w:color w:val="333333"/>
          <w:spacing w:val="-1"/>
        </w:rPr>
        <w:t> </w:t>
      </w:r>
      <w:r>
        <w:rPr>
          <w:color w:val="333333"/>
          <w:spacing w:val="4"/>
        </w:rPr>
        <w:t>(</w:t>
      </w:r>
      <w:r>
        <w:rPr>
          <w:color w:val="0F137E"/>
          <w:u w:val="single" w:color="0F137E"/>
        </w:rPr>
        <w:t>2018</w:t>
      </w:r>
      <w:r>
        <w:rPr>
          <w:color w:val="333333"/>
        </w:rPr>
        <w:t>)</w:t>
      </w:r>
      <w:r>
        <w:rPr>
          <w:color w:val="333333"/>
          <w:spacing w:val="-4"/>
        </w:rPr>
        <w:t> </w:t>
      </w:r>
      <w:r>
        <w:rPr>
          <w:color w:val="333333"/>
        </w:rPr>
        <w:t>suggest</w:t>
      </w:r>
      <w:r>
        <w:rPr>
          <w:color w:val="333333"/>
          <w:spacing w:val="-4"/>
        </w:rPr>
        <w:t> </w:t>
      </w:r>
      <w:r>
        <w:rPr>
          <w:color w:val="333333"/>
        </w:rPr>
        <w:t>that</w:t>
      </w:r>
      <w:r>
        <w:rPr>
          <w:color w:val="333333"/>
          <w:spacing w:val="-4"/>
        </w:rPr>
        <w:t> </w:t>
      </w:r>
      <w:r>
        <w:rPr>
          <w:color w:val="333333"/>
        </w:rPr>
        <w:t>such</w:t>
      </w:r>
      <w:r>
        <w:rPr>
          <w:color w:val="333333"/>
          <w:spacing w:val="-3"/>
        </w:rPr>
        <w:t> </w:t>
      </w:r>
      <w:r>
        <w:rPr>
          <w:color w:val="333333"/>
        </w:rPr>
        <w:t>data</w:t>
      </w:r>
      <w:r>
        <w:rPr>
          <w:color w:val="333333"/>
          <w:spacing w:val="-1"/>
        </w:rPr>
        <w:t> </w:t>
      </w:r>
      <w:r>
        <w:rPr>
          <w:color w:val="333333"/>
        </w:rPr>
        <w:t>may be structured (e.g., genotype, phenotype, or genomics data) or unstructured (e.g., clinical notes, prescriptions, or medical imaging). Implementing data in healthcare often requires the generation and collection of real-time data (Tang et al.</w:t>
      </w:r>
      <w:r>
        <w:rPr>
          <w:color w:val="0F137E"/>
          <w:u w:val="single" w:color="0F137E"/>
        </w:rPr>
        <w:t> 2019</w:t>
      </w:r>
      <w:r>
        <w:rPr>
          <w:color w:val="333333"/>
        </w:rPr>
        <w:t>) of high quality (Wang, Kung, and Byrd</w:t>
      </w:r>
      <w:r>
        <w:rPr>
          <w:color w:val="0F137E"/>
          <w:u w:val="single" w:color="0F137E"/>
        </w:rPr>
        <w:t> 2018</w:t>
      </w:r>
      <w:r>
        <w:rPr>
          <w:color w:val="333333"/>
        </w:rPr>
        <w:t>). Decision-makers in healthcare organisations are able to take meaningful action based on valuable insights</w:t>
      </w:r>
      <w:r>
        <w:rPr>
          <w:color w:val="333333"/>
          <w:spacing w:val="-28"/>
        </w:rPr>
        <w:t> </w:t>
      </w:r>
      <w:r>
        <w:rPr>
          <w:color w:val="333333"/>
        </w:rPr>
        <w:t>derived from big data (Prasser et al.</w:t>
      </w:r>
      <w:r>
        <w:rPr>
          <w:color w:val="0F137E"/>
          <w:u w:val="single" w:color="0F137E"/>
        </w:rPr>
        <w:t> 2019</w:t>
      </w:r>
      <w:r>
        <w:rPr>
          <w:color w:val="333333"/>
        </w:rPr>
        <w:t>; Wang, Kung, and Byrd</w:t>
      </w:r>
      <w:r>
        <w:rPr>
          <w:color w:val="0F137E"/>
          <w:u w:val="single" w:color="0F137E"/>
        </w:rPr>
        <w:t> 2018</w:t>
      </w:r>
      <w:r>
        <w:rPr>
          <w:color w:val="333333"/>
        </w:rPr>
        <w:t>). Healthcare organisations deploy technologies to cope with the changing nature of big data (Harerimana et al.</w:t>
      </w:r>
      <w:r>
        <w:rPr>
          <w:color w:val="0F137E"/>
          <w:u w:val="single" w:color="0F137E"/>
        </w:rPr>
        <w:t> 2018</w:t>
      </w:r>
      <w:r>
        <w:rPr>
          <w:color w:val="333333"/>
        </w:rPr>
        <w:t>; Zhang et al.</w:t>
      </w:r>
      <w:r>
        <w:rPr>
          <w:color w:val="0F137E"/>
          <w:u w:val="single" w:color="0F137E"/>
        </w:rPr>
        <w:t> 2015</w:t>
      </w:r>
      <w:r>
        <w:rPr>
          <w:color w:val="333333"/>
        </w:rPr>
        <w:t>). Moreover, big data in healthcare can be employed to connect different fields to comprehensively study a disease (Zhang, Simon, and Yu</w:t>
      </w:r>
      <w:r>
        <w:rPr>
          <w:color w:val="0F137E"/>
          <w:u w:val="single" w:color="0F137E"/>
        </w:rPr>
        <w:t> 2017</w:t>
      </w:r>
      <w:r>
        <w:rPr>
          <w:color w:val="333333"/>
        </w:rPr>
        <w:t>). In sum, all of the characteristics of big data mentioned above are observable in the context of</w:t>
      </w:r>
      <w:r>
        <w:rPr>
          <w:color w:val="333333"/>
          <w:spacing w:val="-7"/>
        </w:rPr>
        <w:t> </w:t>
      </w:r>
      <w:r>
        <w:rPr>
          <w:color w:val="333333"/>
        </w:rPr>
        <w:t>healthcare.</w:t>
      </w:r>
    </w:p>
    <w:p>
      <w:pPr>
        <w:pStyle w:val="BodyText"/>
        <w:rPr>
          <w:sz w:val="30"/>
        </w:rPr>
      </w:pPr>
    </w:p>
    <w:p>
      <w:pPr>
        <w:pStyle w:val="BodyText"/>
        <w:rPr>
          <w:sz w:val="30"/>
        </w:rPr>
      </w:pPr>
    </w:p>
    <w:p>
      <w:pPr>
        <w:pStyle w:val="BodyText"/>
        <w:spacing w:before="11"/>
        <w:rPr>
          <w:sz w:val="30"/>
        </w:rPr>
      </w:pPr>
    </w:p>
    <w:p>
      <w:pPr>
        <w:pStyle w:val="Heading1"/>
      </w:pPr>
      <w:r>
        <w:rPr>
          <w:color w:val="365E90"/>
        </w:rPr>
        <w:t>Methodology:</w:t>
      </w:r>
    </w:p>
    <w:p>
      <w:pPr>
        <w:pStyle w:val="BodyText"/>
        <w:spacing w:before="292"/>
        <w:ind w:left="460" w:right="187" w:firstLine="207"/>
      </w:pPr>
      <w:r>
        <w:rPr>
          <w:color w:val="333333"/>
        </w:rPr>
        <w:t>The protocol for the current SLR, as presented in</w:t>
      </w:r>
      <w:r>
        <w:rPr>
          <w:color w:val="0F137E"/>
          <w:u w:val="single" w:color="0F137E"/>
        </w:rPr>
        <w:t> Figure 1</w:t>
      </w:r>
      <w:r>
        <w:rPr>
          <w:color w:val="333333"/>
        </w:rPr>
        <w:t>, is comprised of three sequential processes: planning the review, performing the review, and presenting the review (Behera, Bala, and Dhir</w:t>
      </w:r>
      <w:r>
        <w:rPr>
          <w:color w:val="0F137E"/>
          <w:u w:val="single" w:color="0F137E"/>
        </w:rPr>
        <w:t> 2019</w:t>
      </w:r>
      <w:r>
        <w:rPr>
          <w:color w:val="333333"/>
        </w:rPr>
        <w:t>; Tandon et al.</w:t>
      </w:r>
      <w:r>
        <w:rPr>
          <w:color w:val="0F137E"/>
          <w:u w:val="single" w:color="0F137E"/>
        </w:rPr>
        <w:t> 2020</w:t>
      </w:r>
      <w:r>
        <w:rPr>
          <w:color w:val="333333"/>
        </w:rPr>
        <w:t>). The present SLR includes preset inclusion and exclusion criteria (see</w:t>
      </w:r>
      <w:r>
        <w:rPr>
          <w:color w:val="0F137E"/>
          <w:u w:val="single" w:color="0F137E"/>
        </w:rPr>
        <w:t> Figure 1</w:t>
      </w:r>
      <w:r>
        <w:rPr>
          <w:color w:val="333333"/>
        </w:rPr>
        <w:t>), as recommended by prior literature (Behera, Bala, and Dhir</w:t>
      </w:r>
      <w:r>
        <w:rPr>
          <w:color w:val="0F137E"/>
          <w:u w:val="single" w:color="0F137E"/>
        </w:rPr>
        <w:t> 2019</w:t>
      </w:r>
      <w:r>
        <w:rPr>
          <w:color w:val="333333"/>
        </w:rPr>
        <w:t>; Tandon et al.</w:t>
      </w:r>
      <w:r>
        <w:rPr>
          <w:color w:val="0F137E"/>
          <w:u w:val="single" w:color="0F137E"/>
        </w:rPr>
        <w:t> 2020</w:t>
      </w:r>
      <w:r>
        <w:rPr>
          <w:color w:val="333333"/>
        </w:rPr>
        <w:t>).</w:t>
      </w:r>
    </w:p>
    <w:p>
      <w:pPr>
        <w:spacing w:after="0"/>
        <w:sectPr>
          <w:pgSz w:w="12240" w:h="15840"/>
          <w:pgMar w:top="1360" w:bottom="280" w:left="980" w:right="1340"/>
        </w:sectPr>
      </w:pPr>
    </w:p>
    <w:p>
      <w:pPr>
        <w:pStyle w:val="Heading1"/>
        <w:spacing w:before="78"/>
      </w:pPr>
      <w:r>
        <w:rPr>
          <w:color w:val="365E90"/>
        </w:rPr>
        <w:t>Planning the review:</w:t>
      </w:r>
    </w:p>
    <w:p>
      <w:pPr>
        <w:pStyle w:val="BodyText"/>
        <w:spacing w:before="292"/>
        <w:ind w:left="460" w:right="554"/>
      </w:pPr>
      <w:r>
        <w:rPr>
          <w:color w:val="333333"/>
        </w:rPr>
        <w:t>First, appropriate keywords were identified to search for relevant studies in the databases. This SLR focused on four databases: Scopus, Web of Science, PsycINFO, and PubMed. These databases are reportedly the most important sources for studies related to medical health informatics (Behera, Bala, and Dhir</w:t>
      </w:r>
      <w:r>
        <w:rPr>
          <w:color w:val="0F137E"/>
          <w:u w:val="single" w:color="0F137E"/>
        </w:rPr>
        <w:t> 2019</w:t>
      </w:r>
      <w:r>
        <w:rPr>
          <w:color w:val="333333"/>
        </w:rPr>
        <w:t>; Tandon et al.</w:t>
      </w:r>
      <w:r>
        <w:rPr>
          <w:color w:val="0F137E"/>
          <w:u w:val="single" w:color="0F137E"/>
        </w:rPr>
        <w:t> 2020</w:t>
      </w:r>
      <w:r>
        <w:rPr>
          <w:color w:val="333333"/>
        </w:rPr>
        <w:t>). Full texts of the studies that appeared relevant</w:t>
      </w:r>
    </w:p>
    <w:p>
      <w:pPr>
        <w:pStyle w:val="BodyText"/>
        <w:ind w:left="460"/>
      </w:pPr>
      <w:r>
        <w:rPr>
          <w:color w:val="333333"/>
        </w:rPr>
        <w:t>were screened for eligibility. Next, studies meeting the eligibility criteria (namely, the inclusion and exclusion criteria) were assessed for quality and robustness.</w:t>
      </w:r>
    </w:p>
    <w:p>
      <w:pPr>
        <w:pStyle w:val="BodyText"/>
        <w:spacing w:before="2"/>
        <w:rPr>
          <w:sz w:val="42"/>
        </w:rPr>
      </w:pPr>
    </w:p>
    <w:p>
      <w:pPr>
        <w:pStyle w:val="Heading1"/>
      </w:pPr>
      <w:r>
        <w:rPr>
          <w:color w:val="365E90"/>
        </w:rPr>
        <w:t>Applications of BDA in healthcare:</w:t>
      </w:r>
    </w:p>
    <w:p>
      <w:pPr>
        <w:pStyle w:val="BodyText"/>
        <w:rPr>
          <w:rFonts w:ascii="Caladea"/>
          <w:b/>
          <w:sz w:val="36"/>
        </w:rPr>
      </w:pPr>
    </w:p>
    <w:p>
      <w:pPr>
        <w:spacing w:before="213"/>
        <w:ind w:left="460" w:right="0" w:firstLine="0"/>
        <w:jc w:val="left"/>
        <w:rPr>
          <w:rFonts w:ascii="Arial"/>
          <w:b/>
          <w:sz w:val="26"/>
        </w:rPr>
      </w:pPr>
      <w:r>
        <w:rPr>
          <w:rFonts w:ascii="Arial"/>
          <w:b/>
          <w:color w:val="333333"/>
          <w:sz w:val="26"/>
        </w:rPr>
        <w:t>Health awareness</w:t>
      </w:r>
    </w:p>
    <w:p>
      <w:pPr>
        <w:pStyle w:val="BodyText"/>
        <w:spacing w:before="11"/>
        <w:rPr>
          <w:rFonts w:ascii="Arial"/>
          <w:b/>
          <w:sz w:val="30"/>
        </w:rPr>
      </w:pPr>
    </w:p>
    <w:p>
      <w:pPr>
        <w:pStyle w:val="BodyText"/>
        <w:ind w:left="460" w:right="242" w:firstLine="347"/>
        <w:rPr>
          <w:rFonts w:ascii="Arial" w:hAnsi="Arial"/>
          <w:sz w:val="26"/>
        </w:rPr>
      </w:pPr>
      <w:r>
        <w:rPr>
          <w:color w:val="333333"/>
        </w:rPr>
        <w:t>This theme involves different facets of general awareness of the holistic health and well-being of patients. For instance, prior studies on health awareness discussed health insurance (Chandola, Sukumar, and Schryver</w:t>
      </w:r>
      <w:r>
        <w:rPr>
          <w:color w:val="0F137E"/>
          <w:u w:val="single" w:color="0F137E"/>
        </w:rPr>
        <w:t> 2013</w:t>
      </w:r>
      <w:r>
        <w:rPr>
          <w:color w:val="333333"/>
        </w:rPr>
        <w:t>), living environment (Jin et al.,</w:t>
      </w:r>
      <w:r>
        <w:rPr>
          <w:color w:val="0F137E"/>
          <w:u w:val="single" w:color="0F137E"/>
        </w:rPr>
        <w:t> 2016</w:t>
      </w:r>
      <w:r>
        <w:rPr>
          <w:color w:val="333333"/>
        </w:rPr>
        <w:t>), and sports behaviour (Tseng et al.</w:t>
      </w:r>
      <w:r>
        <w:rPr>
          <w:color w:val="0F137E"/>
          <w:u w:val="single" w:color="0F137E"/>
        </w:rPr>
        <w:t> 2017</w:t>
      </w:r>
      <w:r>
        <w:rPr>
          <w:color w:val="333333"/>
        </w:rPr>
        <w:t>), among other topics. Chandola, Sukumar, and Schryver (</w:t>
      </w:r>
      <w:r>
        <w:rPr>
          <w:color w:val="0F137E"/>
          <w:u w:val="single" w:color="0F137E"/>
        </w:rPr>
        <w:t> 2013</w:t>
      </w:r>
      <w:r>
        <w:rPr>
          <w:color w:val="333333"/>
        </w:rPr>
        <w:t>) suggested that insurance claims data reveal important insights about the prevalence of fraudulent activities in healthcare. Jin et al. (</w:t>
      </w:r>
      <w:r>
        <w:rPr>
          <w:color w:val="0F137E"/>
          <w:u w:val="single" w:color="0F137E"/>
        </w:rPr>
        <w:t>2016</w:t>
      </w:r>
      <w:r>
        <w:rPr>
          <w:color w:val="333333"/>
        </w:rPr>
        <w:t>) proposed that cyber technologies can provide a safe and secure living environment for the elderly. Tseng et al. (</w:t>
      </w:r>
      <w:r>
        <w:rPr>
          <w:color w:val="0F137E"/>
          <w:u w:val="single" w:color="0F137E"/>
        </w:rPr>
        <w:t> 2017</w:t>
      </w:r>
      <w:r>
        <w:rPr>
          <w:color w:val="333333"/>
        </w:rPr>
        <w:t>) identified that personalised healthcare apps might analyse users’ sports patterns and trends of heart rate change during exercise</w:t>
      </w:r>
      <w:r>
        <w:rPr>
          <w:rFonts w:ascii="Arial" w:hAnsi="Arial"/>
          <w:color w:val="333333"/>
          <w:sz w:val="26"/>
        </w:rPr>
        <w:t>.</w:t>
      </w:r>
    </w:p>
    <w:p>
      <w:pPr>
        <w:pStyle w:val="BodyText"/>
        <w:spacing w:before="3"/>
        <w:rPr>
          <w:rFonts w:ascii="Arial"/>
          <w:sz w:val="27"/>
        </w:rPr>
      </w:pPr>
    </w:p>
    <w:p>
      <w:pPr>
        <w:spacing w:before="0"/>
        <w:ind w:left="460" w:right="0" w:firstLine="0"/>
        <w:jc w:val="left"/>
        <w:rPr>
          <w:rFonts w:ascii="Arial"/>
          <w:b/>
          <w:sz w:val="26"/>
        </w:rPr>
      </w:pPr>
      <w:r>
        <w:rPr>
          <w:rFonts w:ascii="Arial"/>
          <w:b/>
          <w:color w:val="333333"/>
          <w:sz w:val="26"/>
        </w:rPr>
        <w:t>Healthcare ecosystem</w:t>
      </w:r>
    </w:p>
    <w:p>
      <w:pPr>
        <w:pStyle w:val="BodyText"/>
        <w:spacing w:before="2"/>
        <w:rPr>
          <w:rFonts w:ascii="Arial"/>
          <w:b/>
          <w:sz w:val="31"/>
        </w:rPr>
      </w:pPr>
    </w:p>
    <w:p>
      <w:pPr>
        <w:pStyle w:val="BodyText"/>
        <w:ind w:left="460" w:firstLine="487"/>
      </w:pPr>
      <w:r>
        <w:rPr/>
        <w:pict>
          <v:rect style="position:absolute;margin-left:389.76001pt;margin-top:78.950317pt;width:28.08pt;height:.72pt;mso-position-horizontal-relative:page;mso-position-vertical-relative:paragraph;z-index:-15803392" filled="true" fillcolor="#0f137e" stroked="false">
            <v:fill type="solid"/>
            <w10:wrap type="none"/>
          </v:rect>
        </w:pict>
      </w:r>
      <w:r>
        <w:rPr>
          <w:color w:val="333333"/>
        </w:rPr>
        <w:t>This theme captures the dynamic relationships among stakeholders in the healthcare ecosystem in managing hardware resources (Koliogeorgi et al.</w:t>
      </w:r>
      <w:r>
        <w:rPr>
          <w:color w:val="0F137E"/>
          <w:u w:val="single" w:color="0F137E"/>
        </w:rPr>
        <w:t> 2017</w:t>
      </w:r>
      <w:r>
        <w:rPr>
          <w:color w:val="333333"/>
        </w:rPr>
        <w:t>), device networks (Jindal et al.</w:t>
      </w:r>
      <w:r>
        <w:rPr>
          <w:color w:val="0F137E"/>
          <w:u w:val="single" w:color="0F137E"/>
        </w:rPr>
        <w:t> 2018</w:t>
      </w:r>
      <w:r>
        <w:rPr>
          <w:color w:val="333333"/>
        </w:rPr>
        <w:t>), data warehousing (Sabharwal, Gupta, and Thirunavukkarasu</w:t>
      </w:r>
      <w:r>
        <w:rPr>
          <w:color w:val="0F137E"/>
          <w:u w:val="single" w:color="0F137E"/>
        </w:rPr>
        <w:t> 2016</w:t>
      </w:r>
      <w:r>
        <w:rPr>
          <w:color w:val="333333"/>
        </w:rPr>
        <w:t>), and other facilities required for reaping the benefits of BDA (Wang, Kung, and Byrd</w:t>
      </w:r>
      <w:r>
        <w:rPr>
          <w:color w:val="0F137E"/>
          <w:u w:val="single" w:color="0F137E"/>
        </w:rPr>
        <w:t> 2018</w:t>
      </w:r>
      <w:r>
        <w:rPr>
          <w:color w:val="333333"/>
        </w:rPr>
        <w:t>). Koliogeorgi et al. (</w:t>
      </w:r>
      <w:r>
        <w:rPr>
          <w:color w:val="0F137E"/>
        </w:rPr>
        <w:t>2017</w:t>
      </w:r>
      <w:r>
        <w:rPr>
          <w:color w:val="333333"/>
        </w:rPr>
        <w:t>) suggested that parallel execution of accelerated kernels delivers remarkable speed and scalability. Jindal et al. (</w:t>
      </w:r>
      <w:r>
        <w:rPr>
          <w:color w:val="0F137E"/>
          <w:u w:val="single" w:color="0F137E"/>
        </w:rPr>
        <w:t> 2018</w:t>
      </w:r>
      <w:r>
        <w:rPr>
          <w:color w:val="333333"/>
        </w:rPr>
        <w:t>) proposed the possibility of classifying big data generated from device networks in healthcare. Sabharwal, Gupta, and Thirunavukkarasu (</w:t>
      </w:r>
      <w:r>
        <w:rPr>
          <w:color w:val="0F137E"/>
          <w:u w:val="single" w:color="0F137E"/>
        </w:rPr>
        <w:t> 2016</w:t>
      </w:r>
      <w:r>
        <w:rPr>
          <w:color w:val="333333"/>
        </w:rPr>
        <w:t>) highlighted that BDA might revolutionise many aspects of healthcare, such as patient profiling, genomic analysis, and monitoring. However, the capabilities</w:t>
      </w:r>
    </w:p>
    <w:p>
      <w:pPr>
        <w:spacing w:after="0"/>
        <w:sectPr>
          <w:pgSz w:w="12240" w:h="15840"/>
          <w:pgMar w:top="1360" w:bottom="280" w:left="980" w:right="1340"/>
        </w:sectPr>
      </w:pPr>
    </w:p>
    <w:p>
      <w:pPr>
        <w:pStyle w:val="BodyText"/>
        <w:spacing w:before="73"/>
        <w:ind w:left="460"/>
      </w:pPr>
      <w:r>
        <w:rPr>
          <w:color w:val="333333"/>
        </w:rPr>
        <w:t>required for implementing big data analytics impact transformation practices in healthcare (Wang, Kung, and Byrd</w:t>
      </w:r>
      <w:r>
        <w:rPr>
          <w:color w:val="0F137E"/>
          <w:u w:val="single" w:color="0F137E"/>
        </w:rPr>
        <w:t> 2018</w:t>
      </w:r>
      <w:r>
        <w:rPr>
          <w:color w:val="333333"/>
        </w:rPr>
        <w:t>).</w:t>
      </w:r>
    </w:p>
    <w:p>
      <w:pPr>
        <w:pStyle w:val="BodyText"/>
        <w:rPr>
          <w:sz w:val="30"/>
        </w:rPr>
      </w:pPr>
    </w:p>
    <w:p>
      <w:pPr>
        <w:pStyle w:val="BodyText"/>
        <w:rPr>
          <w:sz w:val="30"/>
        </w:rPr>
      </w:pPr>
    </w:p>
    <w:p>
      <w:pPr>
        <w:pStyle w:val="BodyText"/>
        <w:spacing w:before="1"/>
        <w:rPr>
          <w:sz w:val="29"/>
        </w:rPr>
      </w:pPr>
    </w:p>
    <w:p>
      <w:pPr>
        <w:pStyle w:val="Heading1"/>
      </w:pPr>
      <w:r>
        <w:rPr>
          <w:color w:val="365E90"/>
        </w:rPr>
        <w:t>References:</w:t>
      </w:r>
    </w:p>
    <w:p>
      <w:pPr>
        <w:pStyle w:val="BodyText"/>
        <w:spacing w:before="2"/>
        <w:rPr>
          <w:rFonts w:ascii="Caladea"/>
          <w:b/>
        </w:rPr>
      </w:pPr>
    </w:p>
    <w:p>
      <w:pPr>
        <w:pStyle w:val="ListParagraph"/>
        <w:numPr>
          <w:ilvl w:val="0"/>
          <w:numId w:val="2"/>
        </w:numPr>
        <w:tabs>
          <w:tab w:pos="460" w:val="left" w:leader="none"/>
        </w:tabs>
        <w:spacing w:line="240" w:lineRule="auto" w:before="0" w:after="0"/>
        <w:ind w:left="460" w:right="127" w:hanging="360"/>
        <w:jc w:val="left"/>
        <w:rPr>
          <w:sz w:val="28"/>
        </w:rPr>
      </w:pPr>
      <w:r>
        <w:rPr>
          <w:color w:val="333333"/>
          <w:sz w:val="28"/>
        </w:rPr>
        <w:t>Agnihothri, S., A. Banerjee, and G. Thalacker. 2015. “Analytics to improve</w:t>
      </w:r>
      <w:r>
        <w:rPr>
          <w:color w:val="333333"/>
          <w:spacing w:val="-20"/>
          <w:sz w:val="28"/>
        </w:rPr>
        <w:t> </w:t>
      </w:r>
      <w:r>
        <w:rPr>
          <w:color w:val="333333"/>
          <w:sz w:val="28"/>
        </w:rPr>
        <w:t>service in a pre-admission testing clinic.” In </w:t>
      </w:r>
      <w:r>
        <w:rPr>
          <w:i/>
          <w:color w:val="333333"/>
          <w:sz w:val="28"/>
        </w:rPr>
        <w:t>48th Hawaii International Conference on </w:t>
      </w:r>
      <w:r>
        <w:rPr>
          <w:i/>
          <w:color w:val="333333"/>
          <w:sz w:val="28"/>
        </w:rPr>
        <w:t>System Sciences, </w:t>
      </w:r>
      <w:r>
        <w:rPr>
          <w:color w:val="333333"/>
          <w:sz w:val="28"/>
        </w:rPr>
        <w:t>Kauai, HI, USA, (pp. 1325–1331). IEEE.</w:t>
      </w:r>
      <w:r>
        <w:rPr>
          <w:color w:val="0F137E"/>
          <w:sz w:val="28"/>
          <w:u w:val="single" w:color="0F137E"/>
        </w:rPr>
        <w:t> [Crossref]</w:t>
      </w:r>
      <w:r>
        <w:rPr>
          <w:color w:val="333333"/>
          <w:sz w:val="28"/>
        </w:rPr>
        <w:t>,</w:t>
      </w:r>
      <w:r>
        <w:rPr>
          <w:color w:val="0F137E"/>
          <w:spacing w:val="-10"/>
          <w:sz w:val="28"/>
          <w:u w:val="single" w:color="0F137E"/>
        </w:rPr>
        <w:t> </w:t>
      </w:r>
      <w:r>
        <w:rPr>
          <w:color w:val="0F137E"/>
          <w:sz w:val="28"/>
          <w:u w:val="single" w:color="0F137E"/>
        </w:rPr>
        <w:t>[Google</w:t>
      </w:r>
    </w:p>
    <w:p>
      <w:pPr>
        <w:pStyle w:val="BodyText"/>
        <w:spacing w:line="322" w:lineRule="exact" w:before="1"/>
        <w:ind w:left="460"/>
      </w:pPr>
      <w:r>
        <w:rPr>
          <w:color w:val="0F137E"/>
          <w:spacing w:val="-71"/>
          <w:w w:val="100"/>
          <w:u w:val="single" w:color="0F137E"/>
        </w:rPr>
        <w:t> </w:t>
      </w:r>
      <w:r>
        <w:rPr>
          <w:color w:val="0F137E"/>
          <w:u w:val="single" w:color="0F137E"/>
        </w:rPr>
        <w:t>Scholar]</w:t>
      </w:r>
    </w:p>
    <w:p>
      <w:pPr>
        <w:pStyle w:val="ListParagraph"/>
        <w:numPr>
          <w:ilvl w:val="0"/>
          <w:numId w:val="2"/>
        </w:numPr>
        <w:tabs>
          <w:tab w:pos="460" w:val="left" w:leader="none"/>
        </w:tabs>
        <w:spacing w:line="240" w:lineRule="auto" w:before="0" w:after="0"/>
        <w:ind w:left="460" w:right="188" w:hanging="360"/>
        <w:jc w:val="both"/>
        <w:rPr>
          <w:sz w:val="28"/>
        </w:rPr>
      </w:pPr>
      <w:r>
        <w:rPr>
          <w:color w:val="333333"/>
          <w:sz w:val="28"/>
        </w:rPr>
        <w:t>Aiello, M., C. Cavaliere, A. D’Albore, and M. Salvatore. 2019. “The challenges of diagnostic imaging in the era of big data.” </w:t>
      </w:r>
      <w:r>
        <w:rPr>
          <w:i/>
          <w:color w:val="333333"/>
          <w:sz w:val="28"/>
        </w:rPr>
        <w:t>Journal of Clinical Medicine </w:t>
      </w:r>
      <w:r>
        <w:rPr>
          <w:color w:val="333333"/>
          <w:sz w:val="28"/>
        </w:rPr>
        <w:t>8 (3): 316. doi:10.3390/jcm8030316.</w:t>
      </w:r>
      <w:r>
        <w:rPr>
          <w:color w:val="0F137E"/>
          <w:sz w:val="28"/>
          <w:u w:val="single" w:color="0F137E"/>
        </w:rPr>
        <w:t> [Crossref]</w:t>
      </w:r>
      <w:r>
        <w:rPr>
          <w:color w:val="333333"/>
          <w:sz w:val="28"/>
        </w:rPr>
        <w:t>,</w:t>
      </w:r>
      <w:r>
        <w:rPr>
          <w:color w:val="0F137E"/>
          <w:sz w:val="28"/>
          <w:u w:val="single" w:color="0F137E"/>
        </w:rPr>
        <w:t> [Web of Science ®]</w:t>
      </w:r>
      <w:r>
        <w:rPr>
          <w:color w:val="333333"/>
          <w:sz w:val="28"/>
        </w:rPr>
        <w:t>,</w:t>
      </w:r>
      <w:r>
        <w:rPr>
          <w:color w:val="0F137E"/>
          <w:sz w:val="28"/>
          <w:u w:val="single" w:color="0F137E"/>
        </w:rPr>
        <w:t> [Google</w:t>
      </w:r>
      <w:r>
        <w:rPr>
          <w:color w:val="0F137E"/>
          <w:spacing w:val="-10"/>
          <w:sz w:val="28"/>
          <w:u w:val="single" w:color="0F137E"/>
        </w:rPr>
        <w:t> </w:t>
      </w:r>
      <w:r>
        <w:rPr>
          <w:color w:val="0F137E"/>
          <w:sz w:val="28"/>
          <w:u w:val="single" w:color="0F137E"/>
        </w:rPr>
        <w:t>Scholar]</w:t>
      </w:r>
    </w:p>
    <w:p>
      <w:pPr>
        <w:pStyle w:val="BodyText"/>
        <w:rPr>
          <w:sz w:val="20"/>
        </w:rPr>
      </w:pPr>
    </w:p>
    <w:p>
      <w:pPr>
        <w:pStyle w:val="BodyText"/>
        <w:rPr>
          <w:sz w:val="20"/>
        </w:rPr>
      </w:pPr>
    </w:p>
    <w:p>
      <w:pPr>
        <w:pStyle w:val="BodyText"/>
        <w:rPr>
          <w:sz w:val="29"/>
        </w:rPr>
      </w:pPr>
    </w:p>
    <w:p>
      <w:pPr>
        <w:pStyle w:val="ListParagraph"/>
        <w:numPr>
          <w:ilvl w:val="0"/>
          <w:numId w:val="2"/>
        </w:numPr>
        <w:tabs>
          <w:tab w:pos="460" w:val="left" w:leader="none"/>
        </w:tabs>
        <w:spacing w:line="240" w:lineRule="auto" w:before="88" w:after="0"/>
        <w:ind w:left="460" w:right="274" w:hanging="360"/>
        <w:jc w:val="left"/>
        <w:rPr>
          <w:sz w:val="28"/>
        </w:rPr>
      </w:pPr>
      <w:r>
        <w:rPr>
          <w:color w:val="333333"/>
          <w:sz w:val="28"/>
        </w:rPr>
        <w:t>Amalina, F., I. A. T. Hashem, Z. H. Azizul, A. T. Fong, A. Firdaus, M. Imran, and N. B. Anuar. 2019. “Blending Big Data Analytics: Review on Challenges</w:t>
      </w:r>
      <w:r>
        <w:rPr>
          <w:color w:val="333333"/>
          <w:spacing w:val="-27"/>
          <w:sz w:val="28"/>
        </w:rPr>
        <w:t> </w:t>
      </w:r>
      <w:r>
        <w:rPr>
          <w:color w:val="333333"/>
          <w:sz w:val="28"/>
        </w:rPr>
        <w:t>and a Recent Study.” </w:t>
      </w:r>
      <w:r>
        <w:rPr>
          <w:i/>
          <w:color w:val="333333"/>
          <w:sz w:val="28"/>
        </w:rPr>
        <w:t>IEEE Access </w:t>
      </w:r>
      <w:r>
        <w:rPr>
          <w:color w:val="333333"/>
          <w:sz w:val="28"/>
        </w:rPr>
        <w:t>8: 3629–3645. doi:10.1109/ACCESS.2019.2923270.</w:t>
      </w:r>
      <w:r>
        <w:rPr>
          <w:color w:val="0F137E"/>
          <w:sz w:val="28"/>
          <w:u w:val="single" w:color="0F137E"/>
        </w:rPr>
        <w:t> [Crossref]</w:t>
      </w:r>
      <w:r>
        <w:rPr>
          <w:color w:val="333333"/>
          <w:sz w:val="28"/>
        </w:rPr>
        <w:t>,</w:t>
      </w:r>
      <w:r>
        <w:rPr>
          <w:color w:val="0F137E"/>
          <w:sz w:val="28"/>
          <w:u w:val="single" w:color="0F137E"/>
        </w:rPr>
        <w:t> [Web of Science ®]</w:t>
      </w:r>
      <w:r>
        <w:rPr>
          <w:color w:val="333333"/>
          <w:sz w:val="28"/>
        </w:rPr>
        <w:t>,</w:t>
      </w:r>
      <w:r>
        <w:rPr>
          <w:color w:val="0F137E"/>
          <w:spacing w:val="-6"/>
          <w:sz w:val="28"/>
          <w:u w:val="single" w:color="0F137E"/>
        </w:rPr>
        <w:t> </w:t>
      </w:r>
      <w:r>
        <w:rPr>
          <w:color w:val="0F137E"/>
          <w:sz w:val="28"/>
          <w:u w:val="single" w:color="0F137E"/>
        </w:rPr>
        <w:t>[Google</w:t>
      </w:r>
    </w:p>
    <w:p>
      <w:pPr>
        <w:pStyle w:val="BodyText"/>
        <w:spacing w:line="320" w:lineRule="exact"/>
        <w:ind w:left="460"/>
      </w:pPr>
      <w:r>
        <w:rPr>
          <w:color w:val="0F137E"/>
          <w:spacing w:val="-71"/>
          <w:w w:val="100"/>
          <w:u w:val="single" w:color="0F137E"/>
        </w:rPr>
        <w:t> </w:t>
      </w:r>
      <w:r>
        <w:rPr>
          <w:color w:val="0F137E"/>
          <w:u w:val="single" w:color="0F137E"/>
        </w:rPr>
        <w:t>Scholar]</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5"/>
        </w:rPr>
      </w:pPr>
    </w:p>
    <w:p>
      <w:pPr>
        <w:pStyle w:val="ListParagraph"/>
        <w:numPr>
          <w:ilvl w:val="0"/>
          <w:numId w:val="2"/>
        </w:numPr>
        <w:tabs>
          <w:tab w:pos="460" w:val="left" w:leader="none"/>
        </w:tabs>
        <w:spacing w:line="322" w:lineRule="exact" w:before="88" w:after="0"/>
        <w:ind w:left="460" w:right="0" w:hanging="360"/>
        <w:jc w:val="left"/>
        <w:rPr>
          <w:sz w:val="28"/>
        </w:rPr>
      </w:pPr>
      <w:r>
        <w:rPr>
          <w:color w:val="333333"/>
          <w:sz w:val="28"/>
        </w:rPr>
        <w:t>Amirian, P., F. van Loggerenberg, T. Lang, A. Thomas, R. Peeling, A.</w:t>
      </w:r>
      <w:r>
        <w:rPr>
          <w:color w:val="333333"/>
          <w:spacing w:val="-18"/>
          <w:sz w:val="28"/>
        </w:rPr>
        <w:t> </w:t>
      </w:r>
      <w:r>
        <w:rPr>
          <w:color w:val="333333"/>
          <w:sz w:val="28"/>
        </w:rPr>
        <w:t>Basiri,</w:t>
      </w:r>
    </w:p>
    <w:p>
      <w:pPr>
        <w:pStyle w:val="BodyText"/>
        <w:ind w:left="460"/>
      </w:pPr>
      <w:r>
        <w:rPr>
          <w:color w:val="333333"/>
        </w:rPr>
        <w:t>and S. N. Goodman. 2017. “Using big data analytics to extract disease surveillance information from point of care diagnostic machines.” </w:t>
      </w:r>
      <w:r>
        <w:rPr>
          <w:i/>
          <w:color w:val="333333"/>
        </w:rPr>
        <w:t>Pervasive and Mobile </w:t>
      </w:r>
      <w:r>
        <w:rPr>
          <w:i/>
          <w:color w:val="333333"/>
        </w:rPr>
        <w:t>Computing </w:t>
      </w:r>
      <w:r>
        <w:rPr>
          <w:color w:val="333333"/>
        </w:rPr>
        <w:t>42: 470–486. doi:10.1016/j.pmcj.2017.06.013.</w:t>
      </w:r>
      <w:r>
        <w:rPr>
          <w:color w:val="0F137E"/>
          <w:u w:val="single" w:color="0F137E"/>
        </w:rPr>
        <w:t> [Crossref]</w:t>
      </w:r>
      <w:r>
        <w:rPr>
          <w:color w:val="333333"/>
        </w:rPr>
        <w:t>,</w:t>
      </w:r>
      <w:r>
        <w:rPr>
          <w:color w:val="800080"/>
          <w:u w:val="single" w:color="800080"/>
        </w:rPr>
        <w:t> [Web of</w:t>
      </w:r>
    </w:p>
    <w:p>
      <w:pPr>
        <w:pStyle w:val="BodyText"/>
        <w:spacing w:line="321" w:lineRule="exact"/>
        <w:ind w:left="460"/>
      </w:pPr>
      <w:r>
        <w:rPr>
          <w:color w:val="800080"/>
          <w:spacing w:val="-71"/>
          <w:w w:val="100"/>
          <w:u w:val="single" w:color="800080"/>
        </w:rPr>
        <w:t> </w:t>
      </w:r>
      <w:r>
        <w:rPr>
          <w:color w:val="800080"/>
          <w:u w:val="single" w:color="800080"/>
        </w:rPr>
        <w:t>Science ®]</w:t>
      </w:r>
      <w:r>
        <w:rPr>
          <w:color w:val="333333"/>
        </w:rPr>
        <w:t>,</w:t>
      </w:r>
      <w:r>
        <w:rPr>
          <w:color w:val="0F137E"/>
          <w:u w:val="single" w:color="0F137E"/>
        </w:rPr>
        <w:t> [Google Scholar]</w:t>
      </w:r>
    </w:p>
    <w:p>
      <w:pPr>
        <w:pStyle w:val="BodyText"/>
        <w:rPr>
          <w:sz w:val="20"/>
        </w:rPr>
      </w:pPr>
    </w:p>
    <w:p>
      <w:pPr>
        <w:pStyle w:val="BodyText"/>
        <w:rPr>
          <w:sz w:val="20"/>
        </w:rPr>
      </w:pPr>
    </w:p>
    <w:p>
      <w:pPr>
        <w:pStyle w:val="BodyText"/>
        <w:spacing w:before="1"/>
        <w:rPr>
          <w:sz w:val="29"/>
        </w:rPr>
      </w:pPr>
    </w:p>
    <w:p>
      <w:pPr>
        <w:pStyle w:val="ListParagraph"/>
        <w:numPr>
          <w:ilvl w:val="0"/>
          <w:numId w:val="2"/>
        </w:numPr>
        <w:tabs>
          <w:tab w:pos="460" w:val="left" w:leader="none"/>
        </w:tabs>
        <w:spacing w:line="240" w:lineRule="auto" w:before="89" w:after="0"/>
        <w:ind w:left="460" w:right="0" w:hanging="360"/>
        <w:jc w:val="left"/>
        <w:rPr>
          <w:sz w:val="28"/>
        </w:rPr>
      </w:pPr>
      <w:r>
        <w:rPr>
          <w:color w:val="333333"/>
          <w:sz w:val="28"/>
        </w:rPr>
        <w:t>Antoine-</w:t>
      </w:r>
    </w:p>
    <w:p>
      <w:pPr>
        <w:pStyle w:val="BodyText"/>
        <w:spacing w:before="2"/>
        <w:ind w:left="460"/>
      </w:pPr>
      <w:r>
        <w:rPr>
          <w:color w:val="333333"/>
        </w:rPr>
        <w:t>Moussiaux, N., O. Vandenberg, Z. Kozlakidis, C. Aenishaenslin, M. Peyre, M. Roc he, … A. Ravel. 2019. “Valuing health surveillance as an information system: interdisciplinary insights.” </w:t>
      </w:r>
      <w:r>
        <w:rPr>
          <w:i/>
          <w:color w:val="333333"/>
        </w:rPr>
        <w:t>Frontiers in Public Health </w:t>
      </w:r>
      <w:r>
        <w:rPr>
          <w:color w:val="333333"/>
        </w:rPr>
        <w:t>7: 138.</w:t>
      </w:r>
    </w:p>
    <w:p>
      <w:pPr>
        <w:spacing w:after="0"/>
        <w:sectPr>
          <w:pgSz w:w="12240" w:h="15840"/>
          <w:pgMar w:top="1360" w:bottom="280" w:left="980" w:right="1340"/>
        </w:sectPr>
      </w:pPr>
    </w:p>
    <w:p>
      <w:pPr>
        <w:pStyle w:val="BodyText"/>
        <w:spacing w:line="321" w:lineRule="exact" w:before="73"/>
        <w:ind w:left="460"/>
      </w:pPr>
      <w:r>
        <w:rPr>
          <w:color w:val="333333"/>
        </w:rPr>
        <w:t>doi:10.3389/fpubh.2019.00138.</w:t>
      </w:r>
      <w:r>
        <w:rPr>
          <w:color w:val="0F137E"/>
          <w:u w:val="single" w:color="0F137E"/>
        </w:rPr>
        <w:t> [Crossref]</w:t>
      </w:r>
      <w:r>
        <w:rPr>
          <w:color w:val="333333"/>
        </w:rPr>
        <w:t>,</w:t>
      </w:r>
      <w:r>
        <w:rPr>
          <w:color w:val="0F137E"/>
          <w:u w:val="single" w:color="0F137E"/>
        </w:rPr>
        <w:t> [PubMed]</w:t>
      </w:r>
      <w:r>
        <w:rPr>
          <w:color w:val="333333"/>
        </w:rPr>
        <w:t>,</w:t>
      </w:r>
      <w:r>
        <w:rPr>
          <w:color w:val="0F137E"/>
          <w:u w:val="single" w:color="0F137E"/>
        </w:rPr>
        <w:t> [Web of Science</w:t>
      </w:r>
    </w:p>
    <w:p>
      <w:pPr>
        <w:pStyle w:val="BodyText"/>
        <w:spacing w:line="321" w:lineRule="exact"/>
        <w:ind w:left="460"/>
      </w:pPr>
      <w:r>
        <w:rPr>
          <w:color w:val="0F137E"/>
          <w:spacing w:val="-71"/>
          <w:w w:val="100"/>
          <w:u w:val="single" w:color="0F137E"/>
        </w:rPr>
        <w:t> </w:t>
      </w:r>
      <w:r>
        <w:rPr>
          <w:color w:val="0F137E"/>
          <w:u w:val="single" w:color="0F137E"/>
        </w:rPr>
        <w:t>®]</w:t>
      </w:r>
      <w:r>
        <w:rPr>
          <w:color w:val="333333"/>
        </w:rPr>
        <w:t>,</w:t>
      </w:r>
      <w:r>
        <w:rPr>
          <w:color w:val="0F137E"/>
          <w:u w:val="single" w:color="0F137E"/>
        </w:rPr>
        <w:t> [Google Scholar]</w:t>
      </w:r>
    </w:p>
    <w:p>
      <w:pPr>
        <w:pStyle w:val="BodyText"/>
        <w:rPr>
          <w:sz w:val="20"/>
        </w:rPr>
      </w:pPr>
    </w:p>
    <w:p>
      <w:pPr>
        <w:pStyle w:val="BodyText"/>
        <w:rPr>
          <w:sz w:val="20"/>
        </w:rPr>
      </w:pPr>
    </w:p>
    <w:p>
      <w:pPr>
        <w:pStyle w:val="BodyText"/>
        <w:spacing w:before="3"/>
        <w:rPr>
          <w:sz w:val="29"/>
        </w:rPr>
      </w:pPr>
    </w:p>
    <w:p>
      <w:pPr>
        <w:pStyle w:val="ListParagraph"/>
        <w:numPr>
          <w:ilvl w:val="0"/>
          <w:numId w:val="2"/>
        </w:numPr>
        <w:tabs>
          <w:tab w:pos="460" w:val="left" w:leader="none"/>
        </w:tabs>
        <w:spacing w:line="240" w:lineRule="auto" w:before="88" w:after="0"/>
        <w:ind w:left="460" w:right="316" w:hanging="360"/>
        <w:jc w:val="left"/>
        <w:rPr>
          <w:sz w:val="28"/>
        </w:rPr>
      </w:pPr>
      <w:r>
        <w:rPr>
          <w:color w:val="333333"/>
          <w:sz w:val="28"/>
        </w:rPr>
        <w:t>Archenaa, J., and E. M. Anita. 2015. “A survey of big data analytics in</w:t>
      </w:r>
      <w:r>
        <w:rPr>
          <w:color w:val="333333"/>
          <w:spacing w:val="-22"/>
          <w:sz w:val="28"/>
        </w:rPr>
        <w:t> </w:t>
      </w:r>
      <w:r>
        <w:rPr>
          <w:color w:val="333333"/>
          <w:sz w:val="28"/>
        </w:rPr>
        <w:t>healthcare and government.” </w:t>
      </w:r>
      <w:r>
        <w:rPr>
          <w:i/>
          <w:color w:val="333333"/>
          <w:sz w:val="28"/>
        </w:rPr>
        <w:t>Procedia Computer Science </w:t>
      </w:r>
      <w:r>
        <w:rPr>
          <w:color w:val="333333"/>
          <w:sz w:val="28"/>
        </w:rPr>
        <w:t>50: 408–413. doi:10.1016/j.procs.2015.04.021.</w:t>
      </w:r>
      <w:r>
        <w:rPr>
          <w:color w:val="0F137E"/>
          <w:sz w:val="28"/>
          <w:u w:val="single" w:color="0F137E"/>
        </w:rPr>
        <w:t> [Crossref]</w:t>
      </w:r>
      <w:r>
        <w:rPr>
          <w:color w:val="333333"/>
          <w:sz w:val="28"/>
        </w:rPr>
        <w:t>,</w:t>
      </w:r>
      <w:r>
        <w:rPr>
          <w:color w:val="0F137E"/>
          <w:sz w:val="28"/>
          <w:u w:val="single" w:color="0F137E"/>
        </w:rPr>
        <w:t> [Google Scholar]</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5"/>
        </w:rPr>
      </w:pPr>
    </w:p>
    <w:p>
      <w:pPr>
        <w:pStyle w:val="ListParagraph"/>
        <w:numPr>
          <w:ilvl w:val="0"/>
          <w:numId w:val="2"/>
        </w:numPr>
        <w:tabs>
          <w:tab w:pos="460" w:val="left" w:leader="none"/>
        </w:tabs>
        <w:spacing w:line="240" w:lineRule="auto" w:before="89" w:after="0"/>
        <w:ind w:left="460" w:right="759" w:hanging="360"/>
        <w:jc w:val="both"/>
        <w:rPr>
          <w:sz w:val="28"/>
        </w:rPr>
      </w:pPr>
      <w:r>
        <w:rPr>
          <w:color w:val="333333"/>
          <w:sz w:val="28"/>
        </w:rPr>
        <w:t>Austin, C., and F. Kusumoto. 2016. “The application of big data in medicine: current implications and future directions.” </w:t>
      </w:r>
      <w:r>
        <w:rPr>
          <w:i/>
          <w:color w:val="333333"/>
          <w:sz w:val="28"/>
        </w:rPr>
        <w:t>Journal of Interventional</w:t>
      </w:r>
      <w:r>
        <w:rPr>
          <w:i/>
          <w:color w:val="333333"/>
          <w:spacing w:val="-15"/>
          <w:sz w:val="28"/>
        </w:rPr>
        <w:t> </w:t>
      </w:r>
      <w:r>
        <w:rPr>
          <w:i/>
          <w:color w:val="333333"/>
          <w:sz w:val="28"/>
        </w:rPr>
        <w:t>Cardiac </w:t>
      </w:r>
      <w:r>
        <w:rPr>
          <w:i/>
          <w:color w:val="333333"/>
          <w:sz w:val="28"/>
        </w:rPr>
        <w:t>Electrophysiology </w:t>
      </w:r>
      <w:r>
        <w:rPr>
          <w:color w:val="333333"/>
          <w:sz w:val="28"/>
        </w:rPr>
        <w:t>47 (1): 51–59.</w:t>
      </w:r>
      <w:r>
        <w:rPr>
          <w:color w:val="333333"/>
          <w:spacing w:val="-10"/>
          <w:sz w:val="28"/>
        </w:rPr>
        <w:t> </w:t>
      </w:r>
      <w:r>
        <w:rPr>
          <w:color w:val="333333"/>
          <w:sz w:val="28"/>
        </w:rPr>
        <w:t>doi:10.1007/s10840-016-0104-</w:t>
      </w:r>
    </w:p>
    <w:p>
      <w:pPr>
        <w:pStyle w:val="BodyText"/>
        <w:spacing w:line="318" w:lineRule="exact"/>
        <w:ind w:left="460"/>
      </w:pPr>
      <w:r>
        <w:rPr>
          <w:color w:val="333333"/>
        </w:rPr>
        <w:t>y.</w:t>
      </w:r>
      <w:r>
        <w:rPr>
          <w:color w:val="0F137E"/>
          <w:u w:val="single" w:color="0F137E"/>
        </w:rPr>
        <w:t> [Crossref]</w:t>
      </w:r>
      <w:r>
        <w:rPr>
          <w:color w:val="333333"/>
        </w:rPr>
        <w:t>,</w:t>
      </w:r>
      <w:r>
        <w:rPr>
          <w:color w:val="0F137E"/>
          <w:u w:val="single" w:color="0F137E"/>
        </w:rPr>
        <w:t> [PubMed]</w:t>
      </w:r>
      <w:r>
        <w:rPr>
          <w:color w:val="333333"/>
        </w:rPr>
        <w:t>,</w:t>
      </w:r>
      <w:r>
        <w:rPr>
          <w:color w:val="0F137E"/>
          <w:u w:val="single" w:color="0F137E"/>
        </w:rPr>
        <w:t> [Web of Science ®]</w:t>
      </w:r>
      <w:r>
        <w:rPr>
          <w:color w:val="333333"/>
        </w:rPr>
        <w:t>,</w:t>
      </w:r>
      <w:r>
        <w:rPr>
          <w:color w:val="0F137E"/>
          <w:u w:val="single" w:color="0F137E"/>
        </w:rPr>
        <w:t> [Google Scholar]</w:t>
      </w:r>
    </w:p>
    <w:p>
      <w:pPr>
        <w:pStyle w:val="BodyText"/>
        <w:rPr>
          <w:sz w:val="20"/>
        </w:rPr>
      </w:pPr>
    </w:p>
    <w:p>
      <w:pPr>
        <w:pStyle w:val="BodyText"/>
        <w:rPr>
          <w:sz w:val="20"/>
        </w:rPr>
      </w:pPr>
    </w:p>
    <w:p>
      <w:pPr>
        <w:pStyle w:val="BodyText"/>
        <w:spacing w:before="3"/>
        <w:rPr>
          <w:sz w:val="29"/>
        </w:rPr>
      </w:pPr>
    </w:p>
    <w:p>
      <w:pPr>
        <w:pStyle w:val="ListParagraph"/>
        <w:numPr>
          <w:ilvl w:val="0"/>
          <w:numId w:val="2"/>
        </w:numPr>
        <w:tabs>
          <w:tab w:pos="460" w:val="left" w:leader="none"/>
        </w:tabs>
        <w:spacing w:line="322" w:lineRule="exact" w:before="88" w:after="0"/>
        <w:ind w:left="460" w:right="0" w:hanging="360"/>
        <w:jc w:val="left"/>
        <w:rPr>
          <w:sz w:val="28"/>
        </w:rPr>
      </w:pPr>
      <w:r>
        <w:rPr>
          <w:color w:val="333333"/>
          <w:sz w:val="28"/>
        </w:rPr>
        <w:t>Babar, M. I., M. Jehanzeb, M. Ghazali, D. N. Jawawi, F. Sher, and S.</w:t>
      </w:r>
      <w:r>
        <w:rPr>
          <w:color w:val="333333"/>
          <w:spacing w:val="-18"/>
          <w:sz w:val="28"/>
        </w:rPr>
        <w:t> </w:t>
      </w:r>
      <w:r>
        <w:rPr>
          <w:color w:val="333333"/>
          <w:sz w:val="28"/>
        </w:rPr>
        <w:t>A.</w:t>
      </w:r>
    </w:p>
    <w:p>
      <w:pPr>
        <w:spacing w:before="0"/>
        <w:ind w:left="460" w:right="187" w:firstLine="0"/>
        <w:jc w:val="left"/>
        <w:rPr>
          <w:sz w:val="28"/>
        </w:rPr>
      </w:pPr>
      <w:r>
        <w:rPr>
          <w:color w:val="333333"/>
          <w:sz w:val="28"/>
        </w:rPr>
        <w:t>K. Ghayyur. 2016. “Big data survey in healthcare and a proposal for intelligent data diagnosis framework.” In </w:t>
      </w:r>
      <w:r>
        <w:rPr>
          <w:i/>
          <w:color w:val="333333"/>
          <w:sz w:val="28"/>
        </w:rPr>
        <w:t>2nd IEEE International Conference on Computer </w:t>
      </w:r>
      <w:r>
        <w:rPr>
          <w:i/>
          <w:color w:val="333333"/>
          <w:sz w:val="28"/>
        </w:rPr>
        <w:t>and Communications</w:t>
      </w:r>
      <w:r>
        <w:rPr>
          <w:color w:val="333333"/>
          <w:sz w:val="28"/>
        </w:rPr>
        <w:t>, Chengdu, China, (pp. 7–12). IEEE.</w:t>
      </w:r>
      <w:r>
        <w:rPr>
          <w:color w:val="0F137E"/>
          <w:sz w:val="28"/>
          <w:u w:val="single" w:color="0F137E"/>
        </w:rPr>
        <w:t> [Crossref]</w:t>
      </w:r>
      <w:r>
        <w:rPr>
          <w:color w:val="333333"/>
          <w:sz w:val="28"/>
        </w:rPr>
        <w:t>,</w:t>
      </w:r>
      <w:r>
        <w:rPr>
          <w:color w:val="0F137E"/>
          <w:sz w:val="28"/>
          <w:u w:val="single" w:color="0F137E"/>
        </w:rPr>
        <w:t> [Google</w:t>
      </w:r>
    </w:p>
    <w:p>
      <w:pPr>
        <w:pStyle w:val="BodyText"/>
        <w:spacing w:line="318" w:lineRule="exact"/>
        <w:ind w:left="460"/>
      </w:pPr>
      <w:r>
        <w:rPr>
          <w:color w:val="0F137E"/>
          <w:spacing w:val="-71"/>
          <w:w w:val="100"/>
          <w:u w:val="single" w:color="0F137E"/>
        </w:rPr>
        <w:t> </w:t>
      </w:r>
      <w:r>
        <w:rPr>
          <w:color w:val="0F137E"/>
          <w:u w:val="single" w:color="0F137E"/>
        </w:rPr>
        <w:t>Scholar]</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0"/>
        <w:rPr>
          <w:sz w:val="25"/>
        </w:rPr>
      </w:pPr>
    </w:p>
    <w:p>
      <w:pPr>
        <w:pStyle w:val="ListParagraph"/>
        <w:numPr>
          <w:ilvl w:val="0"/>
          <w:numId w:val="2"/>
        </w:numPr>
        <w:tabs>
          <w:tab w:pos="460" w:val="left" w:leader="none"/>
        </w:tabs>
        <w:spacing w:line="240" w:lineRule="auto" w:before="88" w:after="0"/>
        <w:ind w:left="460" w:right="991" w:hanging="360"/>
        <w:jc w:val="both"/>
        <w:rPr>
          <w:sz w:val="28"/>
        </w:rPr>
      </w:pPr>
      <w:r>
        <w:rPr>
          <w:color w:val="333333"/>
          <w:sz w:val="28"/>
        </w:rPr>
        <w:t>Babu, S. K., S. Vasavi, and K. Nagarjuna. 2017. “Framework for</w:t>
      </w:r>
      <w:r>
        <w:rPr>
          <w:color w:val="333333"/>
          <w:spacing w:val="-21"/>
          <w:sz w:val="28"/>
        </w:rPr>
        <w:t> </w:t>
      </w:r>
      <w:r>
        <w:rPr>
          <w:color w:val="333333"/>
          <w:sz w:val="28"/>
        </w:rPr>
        <w:t>predictive analytics as a service using ensemble model.” In </w:t>
      </w:r>
      <w:r>
        <w:rPr>
          <w:i/>
          <w:color w:val="333333"/>
          <w:sz w:val="28"/>
        </w:rPr>
        <w:t>7th International Advance </w:t>
      </w:r>
      <w:r>
        <w:rPr>
          <w:i/>
          <w:color w:val="333333"/>
          <w:sz w:val="28"/>
        </w:rPr>
        <w:t>Computing </w:t>
      </w:r>
      <w:r>
        <w:rPr>
          <w:color w:val="333333"/>
          <w:sz w:val="28"/>
        </w:rPr>
        <w:t>Conference, Hyderabad, India, (pp.</w:t>
      </w:r>
      <w:r>
        <w:rPr>
          <w:color w:val="333333"/>
          <w:spacing w:val="-9"/>
          <w:sz w:val="28"/>
        </w:rPr>
        <w:t> </w:t>
      </w:r>
      <w:r>
        <w:rPr>
          <w:color w:val="333333"/>
          <w:sz w:val="28"/>
        </w:rPr>
        <w:t>121–</w:t>
      </w:r>
    </w:p>
    <w:p>
      <w:pPr>
        <w:pStyle w:val="BodyText"/>
        <w:spacing w:line="318" w:lineRule="exact"/>
        <w:ind w:left="460"/>
        <w:jc w:val="both"/>
      </w:pPr>
      <w:r>
        <w:rPr>
          <w:color w:val="333333"/>
        </w:rPr>
        <w:t>128). IEEE.</w:t>
      </w:r>
      <w:r>
        <w:rPr>
          <w:color w:val="0F137E"/>
          <w:u w:val="single" w:color="0F137E"/>
        </w:rPr>
        <w:t> [Crossref]</w:t>
      </w:r>
      <w:r>
        <w:rPr>
          <w:color w:val="333333"/>
        </w:rPr>
        <w:t>,</w:t>
      </w:r>
      <w:r>
        <w:rPr>
          <w:color w:val="0F137E"/>
          <w:u w:val="single" w:color="0F137E"/>
        </w:rPr>
        <w:t> [Google Scholar]</w:t>
      </w:r>
    </w:p>
    <w:p>
      <w:pPr>
        <w:pStyle w:val="BodyText"/>
        <w:rPr>
          <w:sz w:val="20"/>
        </w:rPr>
      </w:pPr>
    </w:p>
    <w:p>
      <w:pPr>
        <w:pStyle w:val="BodyText"/>
        <w:rPr>
          <w:sz w:val="20"/>
        </w:rPr>
      </w:pPr>
    </w:p>
    <w:p>
      <w:pPr>
        <w:pStyle w:val="BodyText"/>
        <w:spacing w:before="4"/>
        <w:rPr>
          <w:sz w:val="29"/>
        </w:rPr>
      </w:pPr>
    </w:p>
    <w:p>
      <w:pPr>
        <w:pStyle w:val="ListParagraph"/>
        <w:numPr>
          <w:ilvl w:val="0"/>
          <w:numId w:val="2"/>
        </w:numPr>
        <w:tabs>
          <w:tab w:pos="460" w:val="left" w:leader="none"/>
        </w:tabs>
        <w:spacing w:line="240" w:lineRule="auto" w:before="88" w:after="0"/>
        <w:ind w:left="460" w:right="1006" w:hanging="360"/>
        <w:jc w:val="left"/>
        <w:rPr>
          <w:sz w:val="28"/>
        </w:rPr>
      </w:pPr>
      <w:r>
        <w:rPr>
          <w:color w:val="333333"/>
          <w:sz w:val="28"/>
        </w:rPr>
        <w:t>Bahri, S., N. Zoghlami, M. Abed, and J. M. R. Tavares. 2018. “Big data</w:t>
      </w:r>
      <w:r>
        <w:rPr>
          <w:color w:val="333333"/>
          <w:spacing w:val="-19"/>
          <w:sz w:val="28"/>
        </w:rPr>
        <w:t> </w:t>
      </w:r>
      <w:r>
        <w:rPr>
          <w:color w:val="333333"/>
          <w:sz w:val="28"/>
        </w:rPr>
        <w:t>for healthcare: a survey.” </w:t>
      </w:r>
      <w:r>
        <w:rPr>
          <w:i/>
          <w:color w:val="333333"/>
          <w:sz w:val="28"/>
        </w:rPr>
        <w:t>IEEE Access </w:t>
      </w:r>
      <w:r>
        <w:rPr>
          <w:color w:val="333333"/>
          <w:sz w:val="28"/>
        </w:rPr>
        <w:t>7: 7397–7408. doi:10.1109/ACCESS.2018.2889180.</w:t>
      </w:r>
      <w:r>
        <w:rPr>
          <w:color w:val="0F137E"/>
          <w:sz w:val="28"/>
          <w:u w:val="single" w:color="0F137E"/>
        </w:rPr>
        <w:t> [Crossref]</w:t>
      </w:r>
      <w:r>
        <w:rPr>
          <w:color w:val="333333"/>
          <w:sz w:val="28"/>
        </w:rPr>
        <w:t>,</w:t>
      </w:r>
      <w:r>
        <w:rPr>
          <w:color w:val="0F137E"/>
          <w:sz w:val="28"/>
          <w:u w:val="single" w:color="0F137E"/>
        </w:rPr>
        <w:t> [Google</w:t>
      </w:r>
      <w:r>
        <w:rPr>
          <w:color w:val="0F137E"/>
          <w:spacing w:val="-3"/>
          <w:sz w:val="28"/>
          <w:u w:val="single" w:color="0F137E"/>
        </w:rPr>
        <w:t> </w:t>
      </w:r>
      <w:r>
        <w:rPr>
          <w:color w:val="0F137E"/>
          <w:sz w:val="28"/>
          <w:u w:val="single" w:color="0F137E"/>
        </w:rPr>
        <w:t>Scholar]</w:t>
      </w:r>
    </w:p>
    <w:p>
      <w:pPr>
        <w:spacing w:after="0" w:line="240" w:lineRule="auto"/>
        <w:jc w:val="left"/>
        <w:rPr>
          <w:sz w:val="28"/>
        </w:rPr>
        <w:sectPr>
          <w:pgSz w:w="12240" w:h="15840"/>
          <w:pgMar w:top="1360" w:bottom="280" w:left="980" w:right="1340"/>
        </w:sectPr>
      </w:pPr>
    </w:p>
    <w:p>
      <w:pPr>
        <w:pStyle w:val="BodyText"/>
        <w:spacing w:before="4"/>
        <w:rPr>
          <w:sz w:val="17"/>
        </w:rPr>
      </w:pPr>
    </w:p>
    <w:sectPr>
      <w:pgSz w:w="12240" w:h="15840"/>
      <w:pgMar w:top="1500" w:bottom="280" w:left="980" w:right="1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adea">
    <w:altName w:val="Caladea"/>
    <w:charset w:val="0"/>
    <w:family w:val="roman"/>
    <w:pitch w:val="variable"/>
  </w:font>
  <w:font w:name="Arial">
    <w:altName w:val="Arial"/>
    <w:charset w:val="0"/>
    <w:family w:val="swiss"/>
    <w:pitch w:val="variable"/>
  </w:font>
  <w:font w:name="Symbol">
    <w:altName w:val="Symbol"/>
    <w:charset w:val="2"/>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60" w:hanging="360"/>
        <w:jc w:val="left"/>
      </w:pPr>
      <w:rPr>
        <w:rFonts w:hint="default" w:ascii="Times New Roman" w:hAnsi="Times New Roman" w:eastAsia="Times New Roman" w:cs="Times New Roman"/>
        <w:b/>
        <w:bCs/>
        <w:color w:val="333333"/>
        <w:spacing w:val="0"/>
        <w:w w:val="100"/>
        <w:sz w:val="28"/>
        <w:szCs w:val="28"/>
        <w:lang w:val="en-US" w:eastAsia="en-US" w:bidi="ar-SA"/>
      </w:rPr>
    </w:lvl>
    <w:lvl w:ilvl="1">
      <w:start w:val="0"/>
      <w:numFmt w:val="bullet"/>
      <w:lvlText w:val="•"/>
      <w:lvlJc w:val="left"/>
      <w:pPr>
        <w:ind w:left="740" w:hanging="360"/>
      </w:pPr>
      <w:rPr>
        <w:rFonts w:hint="default"/>
        <w:lang w:val="en-US" w:eastAsia="en-US" w:bidi="ar-SA"/>
      </w:rPr>
    </w:lvl>
    <w:lvl w:ilvl="2">
      <w:start w:val="0"/>
      <w:numFmt w:val="bullet"/>
      <w:lvlText w:val="•"/>
      <w:lvlJc w:val="left"/>
      <w:pPr>
        <w:ind w:left="1120" w:hanging="360"/>
      </w:pPr>
      <w:rPr>
        <w:rFonts w:hint="default"/>
        <w:lang w:val="en-US" w:eastAsia="en-US" w:bidi="ar-SA"/>
      </w:rPr>
    </w:lvl>
    <w:lvl w:ilvl="3">
      <w:start w:val="0"/>
      <w:numFmt w:val="bullet"/>
      <w:lvlText w:val="•"/>
      <w:lvlJc w:val="left"/>
      <w:pPr>
        <w:ind w:left="2220" w:hanging="360"/>
      </w:pPr>
      <w:rPr>
        <w:rFonts w:hint="default"/>
        <w:lang w:val="en-US" w:eastAsia="en-US" w:bidi="ar-SA"/>
      </w:rPr>
    </w:lvl>
    <w:lvl w:ilvl="4">
      <w:start w:val="0"/>
      <w:numFmt w:val="bullet"/>
      <w:lvlText w:val="•"/>
      <w:lvlJc w:val="left"/>
      <w:pPr>
        <w:ind w:left="3320" w:hanging="360"/>
      </w:pPr>
      <w:rPr>
        <w:rFonts w:hint="default"/>
        <w:lang w:val="en-US" w:eastAsia="en-US" w:bidi="ar-SA"/>
      </w:rPr>
    </w:lvl>
    <w:lvl w:ilvl="5">
      <w:start w:val="0"/>
      <w:numFmt w:val="bullet"/>
      <w:lvlText w:val="•"/>
      <w:lvlJc w:val="left"/>
      <w:pPr>
        <w:ind w:left="4420" w:hanging="360"/>
      </w:pPr>
      <w:rPr>
        <w:rFonts w:hint="default"/>
        <w:lang w:val="en-US" w:eastAsia="en-US" w:bidi="ar-SA"/>
      </w:rPr>
    </w:lvl>
    <w:lvl w:ilvl="6">
      <w:start w:val="0"/>
      <w:numFmt w:val="bullet"/>
      <w:lvlText w:val="•"/>
      <w:lvlJc w:val="left"/>
      <w:pPr>
        <w:ind w:left="5520" w:hanging="360"/>
      </w:pPr>
      <w:rPr>
        <w:rFonts w:hint="default"/>
        <w:lang w:val="en-US" w:eastAsia="en-US" w:bidi="ar-SA"/>
      </w:rPr>
    </w:lvl>
    <w:lvl w:ilvl="7">
      <w:start w:val="0"/>
      <w:numFmt w:val="bullet"/>
      <w:lvlText w:val="•"/>
      <w:lvlJc w:val="left"/>
      <w:pPr>
        <w:ind w:left="6620" w:hanging="360"/>
      </w:pPr>
      <w:rPr>
        <w:rFonts w:hint="default"/>
        <w:lang w:val="en-US" w:eastAsia="en-US" w:bidi="ar-SA"/>
      </w:rPr>
    </w:lvl>
    <w:lvl w:ilvl="8">
      <w:start w:val="0"/>
      <w:numFmt w:val="bullet"/>
      <w:lvlText w:val="•"/>
      <w:lvlJc w:val="left"/>
      <w:pPr>
        <w:ind w:left="7720" w:hanging="360"/>
      </w:pPr>
      <w:rPr>
        <w:rFonts w:hint="default"/>
        <w:lang w:val="en-US" w:eastAsia="en-US" w:bidi="ar-SA"/>
      </w:rPr>
    </w:lvl>
  </w:abstractNum>
  <w:abstractNum w:abstractNumId="0">
    <w:multiLevelType w:val="hybridMultilevel"/>
    <w:lvl w:ilvl="0">
      <w:start w:val="0"/>
      <w:numFmt w:val="bullet"/>
      <w:lvlText w:val=""/>
      <w:lvlJc w:val="left"/>
      <w:pPr>
        <w:ind w:left="1211" w:hanging="360"/>
      </w:pPr>
      <w:rPr>
        <w:rFonts w:hint="default" w:ascii="Symbol" w:hAnsi="Symbol" w:eastAsia="Symbol" w:cs="Symbol"/>
        <w:w w:val="100"/>
        <w:sz w:val="28"/>
        <w:szCs w:val="28"/>
        <w:lang w:val="en-US" w:eastAsia="en-US" w:bidi="ar-SA"/>
      </w:rPr>
    </w:lvl>
    <w:lvl w:ilvl="1">
      <w:start w:val="0"/>
      <w:numFmt w:val="bullet"/>
      <w:lvlText w:val="•"/>
      <w:lvlJc w:val="left"/>
      <w:pPr>
        <w:ind w:left="2090" w:hanging="360"/>
      </w:pPr>
      <w:rPr>
        <w:rFonts w:hint="default"/>
        <w:lang w:val="en-US" w:eastAsia="en-US" w:bidi="ar-SA"/>
      </w:rPr>
    </w:lvl>
    <w:lvl w:ilvl="2">
      <w:start w:val="0"/>
      <w:numFmt w:val="bullet"/>
      <w:lvlText w:val="•"/>
      <w:lvlJc w:val="left"/>
      <w:pPr>
        <w:ind w:left="2960" w:hanging="360"/>
      </w:pPr>
      <w:rPr>
        <w:rFonts w:hint="default"/>
        <w:lang w:val="en-US" w:eastAsia="en-US" w:bidi="ar-SA"/>
      </w:rPr>
    </w:lvl>
    <w:lvl w:ilvl="3">
      <w:start w:val="0"/>
      <w:numFmt w:val="bullet"/>
      <w:lvlText w:val="•"/>
      <w:lvlJc w:val="left"/>
      <w:pPr>
        <w:ind w:left="3830" w:hanging="360"/>
      </w:pPr>
      <w:rPr>
        <w:rFonts w:hint="default"/>
        <w:lang w:val="en-US" w:eastAsia="en-US" w:bidi="ar-SA"/>
      </w:rPr>
    </w:lvl>
    <w:lvl w:ilvl="4">
      <w:start w:val="0"/>
      <w:numFmt w:val="bullet"/>
      <w:lvlText w:val="•"/>
      <w:lvlJc w:val="left"/>
      <w:pPr>
        <w:ind w:left="4700" w:hanging="360"/>
      </w:pPr>
      <w:rPr>
        <w:rFonts w:hint="default"/>
        <w:lang w:val="en-US" w:eastAsia="en-US" w:bidi="ar-SA"/>
      </w:rPr>
    </w:lvl>
    <w:lvl w:ilvl="5">
      <w:start w:val="0"/>
      <w:numFmt w:val="bullet"/>
      <w:lvlText w:val="•"/>
      <w:lvlJc w:val="left"/>
      <w:pPr>
        <w:ind w:left="5570" w:hanging="360"/>
      </w:pPr>
      <w:rPr>
        <w:rFonts w:hint="default"/>
        <w:lang w:val="en-US" w:eastAsia="en-US" w:bidi="ar-SA"/>
      </w:rPr>
    </w:lvl>
    <w:lvl w:ilvl="6">
      <w:start w:val="0"/>
      <w:numFmt w:val="bullet"/>
      <w:lvlText w:val="•"/>
      <w:lvlJc w:val="left"/>
      <w:pPr>
        <w:ind w:left="6440" w:hanging="360"/>
      </w:pPr>
      <w:rPr>
        <w:rFonts w:hint="default"/>
        <w:lang w:val="en-US" w:eastAsia="en-US" w:bidi="ar-SA"/>
      </w:rPr>
    </w:lvl>
    <w:lvl w:ilvl="7">
      <w:start w:val="0"/>
      <w:numFmt w:val="bullet"/>
      <w:lvlText w:val="•"/>
      <w:lvlJc w:val="left"/>
      <w:pPr>
        <w:ind w:left="7310" w:hanging="360"/>
      </w:pPr>
      <w:rPr>
        <w:rFonts w:hint="default"/>
        <w:lang w:val="en-US" w:eastAsia="en-US" w:bidi="ar-SA"/>
      </w:rPr>
    </w:lvl>
    <w:lvl w:ilvl="8">
      <w:start w:val="0"/>
      <w:numFmt w:val="bullet"/>
      <w:lvlText w:val="•"/>
      <w:lvlJc w:val="left"/>
      <w:pPr>
        <w:ind w:left="8180" w:hanging="360"/>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8"/>
      <w:szCs w:val="28"/>
      <w:lang w:val="en-US" w:eastAsia="en-US" w:bidi="ar-SA"/>
    </w:rPr>
  </w:style>
  <w:style w:styleId="Heading1" w:type="paragraph">
    <w:name w:val="Heading 1"/>
    <w:basedOn w:val="Normal"/>
    <w:uiPriority w:val="1"/>
    <w:qFormat/>
    <w:pPr>
      <w:ind w:left="460"/>
      <w:outlineLvl w:val="1"/>
    </w:pPr>
    <w:rPr>
      <w:rFonts w:ascii="Caladea" w:hAnsi="Caladea" w:eastAsia="Caladea" w:cs="Caladea"/>
      <w:b/>
      <w:bCs/>
      <w:sz w:val="32"/>
      <w:szCs w:val="32"/>
      <w:lang w:val="en-US" w:eastAsia="en-US" w:bidi="ar-SA"/>
    </w:rPr>
  </w:style>
  <w:style w:styleId="Title" w:type="paragraph">
    <w:name w:val="Title"/>
    <w:basedOn w:val="Normal"/>
    <w:uiPriority w:val="1"/>
    <w:qFormat/>
    <w:pPr>
      <w:spacing w:before="79"/>
      <w:ind w:left="3450"/>
    </w:pPr>
    <w:rPr>
      <w:rFonts w:ascii="Caladea" w:hAnsi="Caladea" w:eastAsia="Caladea" w:cs="Caladea"/>
      <w:sz w:val="44"/>
      <w:szCs w:val="44"/>
      <w:lang w:val="en-US" w:eastAsia="en-US" w:bidi="ar-SA"/>
    </w:rPr>
  </w:style>
  <w:style w:styleId="ListParagraph" w:type="paragraph">
    <w:name w:val="List Paragraph"/>
    <w:basedOn w:val="Normal"/>
    <w:uiPriority w:val="1"/>
    <w:qFormat/>
    <w:pPr>
      <w:spacing w:before="88"/>
      <w:ind w:left="460"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dc:title>Microsoft Word - New Microsoft Office Word Document</dc:title>
  <dcterms:created xsi:type="dcterms:W3CDTF">2022-09-29T17:02:36Z</dcterms:created>
  <dcterms:modified xsi:type="dcterms:W3CDTF">2022-09-29T17:02:36Z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2022-09-21T00:00:00Z</vt:filetime>
  </property>
  <property fmtid="{D5CDD505-2E9C-101B-9397-08002B2CF9AE}" pid="3" name="LastSaved">
    <vt:filetime>2022-09-29T00:00:00Z</vt:filetime>
  </property>
</Properties>
</file>