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2B11" w:rsidRPr="00EC2E4B" w:rsidRDefault="00585E70">
      <w:pPr>
        <w:spacing w:after="0"/>
        <w:jc w:val="center"/>
        <w:rPr>
          <w:rFonts w:ascii="Times New Roman" w:hAnsi="Times New Roman" w:cs="Times New Roman"/>
          <w:b/>
          <w:bCs/>
          <w:sz w:val="24"/>
          <w:szCs w:val="24"/>
        </w:rPr>
      </w:pPr>
      <w:r w:rsidRPr="00EC2E4B">
        <w:rPr>
          <w:rFonts w:ascii="Times New Roman" w:hAnsi="Times New Roman" w:cs="Times New Roman"/>
          <w:b/>
          <w:bCs/>
          <w:sz w:val="24"/>
          <w:szCs w:val="24"/>
        </w:rPr>
        <w:t>Project Design Phase-I</w:t>
      </w:r>
      <w:bookmarkStart w:id="0" w:name="_GoBack"/>
      <w:bookmarkEnd w:id="0"/>
    </w:p>
    <w:p w:rsidR="00502B11" w:rsidRPr="00EC2E4B" w:rsidRDefault="00585E70">
      <w:pPr>
        <w:spacing w:after="0"/>
        <w:jc w:val="center"/>
        <w:rPr>
          <w:rFonts w:ascii="Times New Roman" w:hAnsi="Times New Roman" w:cs="Times New Roman"/>
          <w:b/>
          <w:bCs/>
          <w:sz w:val="24"/>
          <w:szCs w:val="24"/>
        </w:rPr>
      </w:pPr>
      <w:r w:rsidRPr="00EC2E4B">
        <w:rPr>
          <w:rFonts w:ascii="Times New Roman" w:hAnsi="Times New Roman" w:cs="Times New Roman"/>
          <w:b/>
          <w:bCs/>
          <w:sz w:val="24"/>
          <w:szCs w:val="24"/>
        </w:rPr>
        <w:t>Solution Architecture</w:t>
      </w:r>
    </w:p>
    <w:p w:rsidR="00502B11" w:rsidRDefault="00502B11">
      <w:pPr>
        <w:spacing w:after="0"/>
        <w:jc w:val="center"/>
        <w:rPr>
          <w:rFonts w:cstheme="minorHAnsi"/>
          <w:b/>
          <w:bCs/>
        </w:rPr>
      </w:pPr>
    </w:p>
    <w:tbl>
      <w:tblPr>
        <w:tblStyle w:val="TableGrid"/>
        <w:tblW w:w="9016" w:type="dxa"/>
        <w:tblLayout w:type="fixed"/>
        <w:tblLook w:val="04A0" w:firstRow="1" w:lastRow="0" w:firstColumn="1" w:lastColumn="0" w:noHBand="0" w:noVBand="1"/>
      </w:tblPr>
      <w:tblGrid>
        <w:gridCol w:w="4509"/>
        <w:gridCol w:w="4507"/>
      </w:tblGrid>
      <w:tr w:rsidR="00502B11">
        <w:tc>
          <w:tcPr>
            <w:tcW w:w="4508" w:type="dxa"/>
          </w:tcPr>
          <w:p w:rsidR="00502B11" w:rsidRDefault="00585E70">
            <w:pPr>
              <w:widowControl w:val="0"/>
              <w:spacing w:after="0" w:line="240" w:lineRule="auto"/>
              <w:rPr>
                <w:rFonts w:cstheme="minorHAnsi"/>
              </w:rPr>
            </w:pPr>
            <w:r>
              <w:rPr>
                <w:rFonts w:eastAsia="Calibri" w:cstheme="minorHAnsi"/>
              </w:rPr>
              <w:t>Date</w:t>
            </w:r>
          </w:p>
        </w:tc>
        <w:tc>
          <w:tcPr>
            <w:tcW w:w="4507" w:type="dxa"/>
          </w:tcPr>
          <w:p w:rsidR="00502B11" w:rsidRDefault="00585E70">
            <w:pPr>
              <w:widowControl w:val="0"/>
              <w:spacing w:after="0" w:line="240" w:lineRule="auto"/>
              <w:rPr>
                <w:rFonts w:cstheme="minorHAnsi"/>
              </w:rPr>
            </w:pPr>
            <w:r>
              <w:rPr>
                <w:rFonts w:eastAsia="Calibri" w:cstheme="minorHAnsi"/>
              </w:rPr>
              <w:t>10 September 2022</w:t>
            </w:r>
          </w:p>
        </w:tc>
      </w:tr>
      <w:tr w:rsidR="00502B11">
        <w:tc>
          <w:tcPr>
            <w:tcW w:w="4508" w:type="dxa"/>
          </w:tcPr>
          <w:p w:rsidR="00502B11" w:rsidRDefault="00585E70">
            <w:pPr>
              <w:widowControl w:val="0"/>
              <w:spacing w:after="0" w:line="240" w:lineRule="auto"/>
              <w:rPr>
                <w:rFonts w:cstheme="minorHAnsi"/>
              </w:rPr>
            </w:pPr>
            <w:r>
              <w:rPr>
                <w:rFonts w:eastAsia="Calibri" w:cstheme="minorHAnsi"/>
              </w:rPr>
              <w:t>Team ID</w:t>
            </w:r>
          </w:p>
        </w:tc>
        <w:tc>
          <w:tcPr>
            <w:tcW w:w="4507" w:type="dxa"/>
          </w:tcPr>
          <w:p w:rsidR="00502B11" w:rsidRDefault="00EF717A">
            <w:pPr>
              <w:widowControl w:val="0"/>
              <w:spacing w:after="0" w:line="240" w:lineRule="auto"/>
              <w:rPr>
                <w:rFonts w:cstheme="minorHAnsi"/>
              </w:rPr>
            </w:pPr>
            <w:r>
              <w:rPr>
                <w:rFonts w:ascii="Verdana" w:hAnsi="Verdana"/>
                <w:color w:val="222222"/>
                <w:sz w:val="20"/>
                <w:szCs w:val="20"/>
                <w:shd w:val="clear" w:color="auto" w:fill="FFFFFF"/>
              </w:rPr>
              <w:t>PNT2022TMID04437</w:t>
            </w:r>
          </w:p>
        </w:tc>
      </w:tr>
      <w:tr w:rsidR="00502B11">
        <w:tc>
          <w:tcPr>
            <w:tcW w:w="4508" w:type="dxa"/>
          </w:tcPr>
          <w:p w:rsidR="00502B11" w:rsidRDefault="00585E70">
            <w:pPr>
              <w:widowControl w:val="0"/>
              <w:spacing w:after="0" w:line="240" w:lineRule="auto"/>
              <w:rPr>
                <w:rFonts w:cstheme="minorHAnsi"/>
              </w:rPr>
            </w:pPr>
            <w:r>
              <w:rPr>
                <w:rFonts w:eastAsia="Calibri" w:cstheme="minorHAnsi"/>
              </w:rPr>
              <w:t>Project Name</w:t>
            </w:r>
          </w:p>
        </w:tc>
        <w:tc>
          <w:tcPr>
            <w:tcW w:w="4507" w:type="dxa"/>
          </w:tcPr>
          <w:p w:rsidR="00502B11" w:rsidRDefault="00585E70">
            <w:pPr>
              <w:widowControl w:val="0"/>
              <w:spacing w:after="0" w:line="240" w:lineRule="auto"/>
              <w:rPr>
                <w:rFonts w:cstheme="minorHAnsi"/>
              </w:rPr>
            </w:pPr>
            <w:r>
              <w:rPr>
                <w:rFonts w:eastAsia="Calibri" w:cstheme="minorHAnsi"/>
              </w:rPr>
              <w:t>Plasma Donor Application</w:t>
            </w:r>
          </w:p>
        </w:tc>
      </w:tr>
      <w:tr w:rsidR="00502B11">
        <w:tc>
          <w:tcPr>
            <w:tcW w:w="4508" w:type="dxa"/>
          </w:tcPr>
          <w:p w:rsidR="00502B11" w:rsidRDefault="00585E70">
            <w:pPr>
              <w:widowControl w:val="0"/>
              <w:spacing w:after="0" w:line="240" w:lineRule="auto"/>
              <w:rPr>
                <w:rFonts w:cstheme="minorHAnsi"/>
              </w:rPr>
            </w:pPr>
            <w:r>
              <w:rPr>
                <w:rFonts w:eastAsia="Calibri" w:cstheme="minorHAnsi"/>
              </w:rPr>
              <w:t>Maximum Marks</w:t>
            </w:r>
          </w:p>
        </w:tc>
        <w:tc>
          <w:tcPr>
            <w:tcW w:w="4507" w:type="dxa"/>
          </w:tcPr>
          <w:p w:rsidR="00502B11" w:rsidRDefault="00585E70">
            <w:pPr>
              <w:widowControl w:val="0"/>
              <w:spacing w:after="0" w:line="240" w:lineRule="auto"/>
              <w:rPr>
                <w:rFonts w:cstheme="minorHAnsi"/>
              </w:rPr>
            </w:pPr>
            <w:r>
              <w:rPr>
                <w:rFonts w:eastAsia="Calibri" w:cstheme="minorHAnsi"/>
              </w:rPr>
              <w:t>4 Marks</w:t>
            </w:r>
          </w:p>
        </w:tc>
      </w:tr>
    </w:tbl>
    <w:p w:rsidR="00502B11" w:rsidRDefault="00502B11">
      <w:pPr>
        <w:rPr>
          <w:rFonts w:cstheme="minorHAnsi"/>
          <w:b/>
          <w:bCs/>
        </w:rPr>
      </w:pPr>
    </w:p>
    <w:p w:rsidR="00502B11" w:rsidRDefault="00585E70">
      <w:pPr>
        <w:rPr>
          <w:i/>
          <w:iCs/>
          <w:u w:val="single"/>
        </w:rPr>
      </w:pPr>
      <w:r>
        <w:rPr>
          <w:rFonts w:ascii="Arial" w:eastAsia="Times New Roman" w:hAnsi="Arial" w:cs="Arial"/>
          <w:b/>
          <w:bCs/>
          <w:i/>
          <w:iCs/>
          <w:color w:val="000000"/>
          <w:sz w:val="24"/>
          <w:szCs w:val="24"/>
          <w:u w:val="single"/>
          <w:lang w:eastAsia="en-IN"/>
        </w:rPr>
        <w:t>Solution Architecture:</w:t>
      </w:r>
    </w:p>
    <w:p w:rsidR="00502B11" w:rsidRDefault="00585E70">
      <w:pPr>
        <w:rPr>
          <w:rFonts w:ascii="Arial" w:eastAsia="Times New Roman" w:hAnsi="Arial" w:cs="Arial"/>
          <w:b/>
          <w:bCs/>
          <w:color w:val="000000"/>
          <w:sz w:val="24"/>
          <w:szCs w:val="24"/>
          <w:lang w:eastAsia="en-IN"/>
        </w:rPr>
      </w:pPr>
      <w:r>
        <w:rPr>
          <w:rFonts w:ascii="Arial" w:eastAsia="Times New Roman" w:hAnsi="Arial" w:cs="Arial"/>
          <w:b/>
          <w:bCs/>
          <w:noProof/>
          <w:color w:val="000000"/>
          <w:sz w:val="24"/>
          <w:szCs w:val="24"/>
          <w:lang w:val="en-US"/>
        </w:rPr>
        <w:drawing>
          <wp:anchor distT="0" distB="0" distL="0" distR="0" simplePos="0" relativeHeight="2" behindDoc="0" locked="0" layoutInCell="0" allowOverlap="1">
            <wp:simplePos x="0" y="0"/>
            <wp:positionH relativeFrom="column">
              <wp:posOffset>29210</wp:posOffset>
            </wp:positionH>
            <wp:positionV relativeFrom="paragraph">
              <wp:posOffset>161925</wp:posOffset>
            </wp:positionV>
            <wp:extent cx="5941695" cy="2611120"/>
            <wp:effectExtent l="0" t="0" r="0" b="0"/>
            <wp:wrapNone/>
            <wp:docPr id="1" name="Image with transparenc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with transparency 1"/>
                    <pic:cNvPicPr>
                      <a:picLocks noChangeAspect="1" noChangeArrowheads="1"/>
                    </pic:cNvPicPr>
                  </pic:nvPicPr>
                  <pic:blipFill>
                    <a:blip r:embed="rId4"/>
                    <a:stretch>
                      <a:fillRect/>
                    </a:stretch>
                  </pic:blipFill>
                  <pic:spPr bwMode="auto">
                    <a:xfrm>
                      <a:off x="0" y="0"/>
                      <a:ext cx="5941695" cy="2611120"/>
                    </a:xfrm>
                    <a:prstGeom prst="rect">
                      <a:avLst/>
                    </a:prstGeom>
                  </pic:spPr>
                </pic:pic>
              </a:graphicData>
            </a:graphic>
          </wp:anchor>
        </w:drawing>
      </w: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85E70">
      <w:r>
        <w:rPr>
          <w:rStyle w:val="Emphasis"/>
          <w:rFonts w:ascii="Helvetica" w:hAnsi="Helvetica" w:cs="Helvetica"/>
          <w:b/>
          <w:bCs/>
          <w:color w:val="333333"/>
          <w:sz w:val="26"/>
          <w:szCs w:val="26"/>
          <w:u w:val="single"/>
        </w:rPr>
        <w:t>KUBERNETES CLUSTER</w:t>
      </w:r>
    </w:p>
    <w:p w:rsidR="00502B11" w:rsidRDefault="00585E70">
      <w:pPr>
        <w:rPr>
          <w:rFonts w:ascii="Arial" w:eastAsia="Times New Roman" w:hAnsi="Arial" w:cs="Arial"/>
          <w:b/>
          <w:bCs/>
          <w:color w:val="000000"/>
          <w:sz w:val="24"/>
          <w:szCs w:val="24"/>
          <w:lang w:eastAsia="en-IN"/>
        </w:rPr>
      </w:pPr>
      <w:proofErr w:type="spellStart"/>
      <w:r>
        <w:rPr>
          <w:rStyle w:val="Emphasis"/>
          <w:rFonts w:ascii="Helvetica" w:hAnsi="Helvetica" w:cs="Helvetica"/>
          <w:color w:val="333333"/>
          <w:sz w:val="21"/>
          <w:szCs w:val="21"/>
        </w:rPr>
        <w:t>Kubernetes</w:t>
      </w:r>
      <w:proofErr w:type="spellEnd"/>
      <w:r>
        <w:rPr>
          <w:rStyle w:val="Emphasis"/>
          <w:rFonts w:ascii="Helvetica" w:hAnsi="Helvetica" w:cs="Helvetica"/>
          <w:color w:val="333333"/>
          <w:sz w:val="21"/>
          <w:szCs w:val="21"/>
        </w:rPr>
        <w:t xml:space="preserve">, also known as K8s, is an open-source system for automating deployment, scaling, and management of containerized applications </w:t>
      </w:r>
      <w:proofErr w:type="spellStart"/>
      <w:r>
        <w:rPr>
          <w:rStyle w:val="Emphasis"/>
          <w:rFonts w:ascii="Helvetica" w:hAnsi="Helvetica" w:cs="Helvetica"/>
          <w:color w:val="333333"/>
          <w:sz w:val="21"/>
          <w:szCs w:val="21"/>
        </w:rPr>
        <w:t>Kubernetes</w:t>
      </w:r>
      <w:proofErr w:type="spellEnd"/>
      <w:r>
        <w:rPr>
          <w:rStyle w:val="Emphasis"/>
          <w:rFonts w:ascii="Helvetica" w:hAnsi="Helvetica" w:cs="Helvetica"/>
          <w:color w:val="333333"/>
          <w:sz w:val="21"/>
          <w:szCs w:val="21"/>
        </w:rPr>
        <w:t xml:space="preserve">, also known as K8s, is an open-source system for automating deployment, scaling, and management of containerized applications </w:t>
      </w:r>
    </w:p>
    <w:p w:rsidR="00502B11" w:rsidRDefault="00585E70">
      <w:r>
        <w:rPr>
          <w:rStyle w:val="Emphasis"/>
          <w:rFonts w:ascii="Helvetica" w:hAnsi="Helvetica" w:cs="Helvetica"/>
          <w:b/>
          <w:bCs/>
          <w:color w:val="333333"/>
          <w:sz w:val="26"/>
          <w:szCs w:val="26"/>
          <w:u w:val="single"/>
        </w:rPr>
        <w:t>CONTAINER REGISTRY</w:t>
      </w:r>
    </w:p>
    <w:p w:rsidR="00502B11" w:rsidRDefault="00585E70">
      <w:pPr>
        <w:rPr>
          <w:rStyle w:val="Emphasis"/>
          <w:rFonts w:ascii="Helvetica" w:hAnsi="Helvetica" w:cs="Helvetica"/>
          <w:b/>
          <w:bCs/>
          <w:color w:val="333333"/>
          <w:sz w:val="26"/>
          <w:szCs w:val="26"/>
        </w:rPr>
      </w:pPr>
      <w:r>
        <w:rPr>
          <w:rFonts w:ascii="Helvetica" w:hAnsi="Helvetica" w:cs="Helvetica"/>
          <w:b/>
          <w:bCs/>
          <w:noProof/>
          <w:color w:val="333333"/>
          <w:sz w:val="26"/>
          <w:szCs w:val="26"/>
          <w:lang w:val="en-US"/>
        </w:rPr>
        <w:drawing>
          <wp:anchor distT="0" distB="0" distL="0" distR="0" simplePos="0" relativeHeight="3" behindDoc="0" locked="0" layoutInCell="0" allowOverlap="1">
            <wp:simplePos x="0" y="0"/>
            <wp:positionH relativeFrom="column">
              <wp:posOffset>1680210</wp:posOffset>
            </wp:positionH>
            <wp:positionV relativeFrom="paragraph">
              <wp:posOffset>-1905</wp:posOffset>
            </wp:positionV>
            <wp:extent cx="2486025" cy="169291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2486025" cy="1692910"/>
                    </a:xfrm>
                    <a:prstGeom prst="rect">
                      <a:avLst/>
                    </a:prstGeom>
                  </pic:spPr>
                </pic:pic>
              </a:graphicData>
            </a:graphic>
          </wp:anchor>
        </w:drawing>
      </w:r>
    </w:p>
    <w:p w:rsidR="00502B11" w:rsidRDefault="00502B11">
      <w:pPr>
        <w:rPr>
          <w:rStyle w:val="Emphasis"/>
          <w:rFonts w:ascii="Helvetica" w:hAnsi="Helvetica" w:cs="Helvetica"/>
          <w:b/>
          <w:bCs/>
          <w:color w:val="333333"/>
          <w:sz w:val="26"/>
          <w:szCs w:val="26"/>
        </w:rPr>
      </w:pPr>
    </w:p>
    <w:p w:rsidR="00502B11" w:rsidRDefault="00502B11">
      <w:pPr>
        <w:rPr>
          <w:rStyle w:val="Emphasis"/>
          <w:rFonts w:ascii="Helvetica" w:hAnsi="Helvetica" w:cs="Helvetica"/>
          <w:b/>
          <w:bCs/>
          <w:color w:val="333333"/>
          <w:sz w:val="26"/>
          <w:szCs w:val="26"/>
        </w:rPr>
      </w:pPr>
    </w:p>
    <w:p w:rsidR="00502B11" w:rsidRDefault="00502B11">
      <w:pPr>
        <w:rPr>
          <w:rStyle w:val="Emphasis"/>
          <w:rFonts w:ascii="Helvetica" w:hAnsi="Helvetica" w:cs="Helvetica"/>
          <w:b/>
          <w:bCs/>
          <w:color w:val="333333"/>
          <w:sz w:val="26"/>
          <w:szCs w:val="26"/>
        </w:rPr>
      </w:pP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85E70">
      <w:pPr>
        <w:rPr>
          <w:rFonts w:ascii="Arial" w:eastAsia="Times New Roman" w:hAnsi="Arial" w:cs="Arial"/>
          <w:b/>
          <w:bCs/>
          <w:color w:val="000000"/>
          <w:sz w:val="24"/>
          <w:szCs w:val="24"/>
          <w:lang w:eastAsia="en-IN"/>
        </w:rPr>
      </w:pPr>
      <w:r>
        <w:rPr>
          <w:rStyle w:val="Emphasis"/>
          <w:rFonts w:ascii="Helvetica" w:hAnsi="Helvetica" w:cs="Helvetica"/>
          <w:color w:val="333333"/>
          <w:sz w:val="21"/>
          <w:szCs w:val="21"/>
        </w:rPr>
        <w:t xml:space="preserve">A container registry is a repository—or collection of repositories—used to store and access container images. Container registries can support container-based application development, often as part of </w:t>
      </w:r>
      <w:proofErr w:type="spellStart"/>
      <w:r>
        <w:rPr>
          <w:rStyle w:val="Emphasis"/>
          <w:rFonts w:ascii="Helvetica" w:hAnsi="Helvetica" w:cs="Helvetica"/>
          <w:color w:val="333333"/>
          <w:sz w:val="21"/>
          <w:szCs w:val="21"/>
        </w:rPr>
        <w:t>DevOps</w:t>
      </w:r>
      <w:proofErr w:type="spellEnd"/>
      <w:r>
        <w:rPr>
          <w:rStyle w:val="Emphasis"/>
          <w:rFonts w:ascii="Helvetica" w:hAnsi="Helvetica" w:cs="Helvetica"/>
          <w:color w:val="333333"/>
          <w:sz w:val="21"/>
          <w:szCs w:val="21"/>
        </w:rPr>
        <w:t xml:space="preserve"> processes. Container registries can connect directly to container orchestration platforms like </w:t>
      </w:r>
      <w:proofErr w:type="spellStart"/>
      <w:r>
        <w:rPr>
          <w:rStyle w:val="Emphasis"/>
          <w:rFonts w:ascii="Helvetica" w:hAnsi="Helvetica" w:cs="Helvetica"/>
          <w:color w:val="333333"/>
          <w:sz w:val="21"/>
          <w:szCs w:val="21"/>
        </w:rPr>
        <w:t>Docker</w:t>
      </w:r>
      <w:proofErr w:type="spellEnd"/>
      <w:r>
        <w:rPr>
          <w:rStyle w:val="Emphasis"/>
          <w:rFonts w:ascii="Helvetica" w:hAnsi="Helvetica" w:cs="Helvetica"/>
          <w:color w:val="333333"/>
          <w:sz w:val="21"/>
          <w:szCs w:val="21"/>
        </w:rPr>
        <w:t xml:space="preserve"> and </w:t>
      </w:r>
      <w:proofErr w:type="spellStart"/>
      <w:r>
        <w:rPr>
          <w:rStyle w:val="Emphasis"/>
          <w:rFonts w:ascii="Helvetica" w:hAnsi="Helvetica" w:cs="Helvetica"/>
          <w:color w:val="333333"/>
          <w:sz w:val="21"/>
          <w:szCs w:val="21"/>
        </w:rPr>
        <w:t>Kubernetes</w:t>
      </w:r>
      <w:proofErr w:type="spellEnd"/>
      <w:r>
        <w:rPr>
          <w:rStyle w:val="Emphasis"/>
          <w:rFonts w:ascii="Helvetica" w:hAnsi="Helvetica" w:cs="Helvetica"/>
          <w:color w:val="333333"/>
          <w:sz w:val="21"/>
          <w:szCs w:val="21"/>
        </w:rPr>
        <w:t xml:space="preserve">. </w:t>
      </w:r>
    </w:p>
    <w:p w:rsidR="00502B11" w:rsidRDefault="00585E70">
      <w:r>
        <w:rPr>
          <w:rStyle w:val="Emphasis"/>
          <w:rFonts w:ascii="Helvetica" w:hAnsi="Helvetica" w:cs="Helvetica"/>
          <w:b/>
          <w:bCs/>
          <w:color w:val="333333"/>
          <w:sz w:val="26"/>
          <w:szCs w:val="26"/>
          <w:u w:val="single"/>
        </w:rPr>
        <w:lastRenderedPageBreak/>
        <w:t>SENDGRID</w:t>
      </w:r>
    </w:p>
    <w:p w:rsidR="00502B11" w:rsidRDefault="00585E70">
      <w:pPr>
        <w:rPr>
          <w:rFonts w:ascii="Arial" w:eastAsia="Times New Roman" w:hAnsi="Arial" w:cs="Arial"/>
          <w:b/>
          <w:bCs/>
          <w:color w:val="000000"/>
          <w:sz w:val="24"/>
          <w:szCs w:val="24"/>
          <w:lang w:eastAsia="en-IN"/>
        </w:rPr>
      </w:pPr>
      <w:r>
        <w:rPr>
          <w:noProof/>
          <w:lang w:val="en-US"/>
        </w:rPr>
        <w:drawing>
          <wp:anchor distT="0" distB="0" distL="0" distR="0" simplePos="0" relativeHeight="4" behindDoc="0" locked="0" layoutInCell="0" allowOverlap="1">
            <wp:simplePos x="0" y="0"/>
            <wp:positionH relativeFrom="column">
              <wp:posOffset>86360</wp:posOffset>
            </wp:positionH>
            <wp:positionV relativeFrom="paragraph">
              <wp:posOffset>56515</wp:posOffset>
            </wp:positionV>
            <wp:extent cx="5731510" cy="246443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6"/>
                    <a:stretch>
                      <a:fillRect/>
                    </a:stretch>
                  </pic:blipFill>
                  <pic:spPr bwMode="auto">
                    <a:xfrm>
                      <a:off x="0" y="0"/>
                      <a:ext cx="5731510" cy="2464435"/>
                    </a:xfrm>
                    <a:prstGeom prst="rect">
                      <a:avLst/>
                    </a:prstGeom>
                  </pic:spPr>
                </pic:pic>
              </a:graphicData>
            </a:graphic>
          </wp:anchor>
        </w:drawing>
      </w:r>
      <w:r>
        <w:rPr>
          <w:rStyle w:val="Emphasis"/>
          <w:rFonts w:ascii="Helvetica" w:hAnsi="Helvetica" w:cs="Helvetica"/>
          <w:color w:val="333333"/>
          <w:sz w:val="21"/>
          <w:szCs w:val="21"/>
        </w:rPr>
        <w:t xml:space="preserve">First, a sender puts together the content that their recipients will love. Then it’s time for the “SMTP conversation” to take place. SMTP stands for Simple Mail Transfer Protocol, and this conversation is what makes email messages get from the sender to the recipient. It’s easiest to think of an SMTP conversation as a “handshake”. Imagine that a sender is a host at a party and all of the other guests are the recipients of the message. The host will shake every guest’s hand and during that “handshake” they will have this SMTP conversation. In the end, the guest (i.e. recipient and its recipient server) will determine if they will accept the message or not. In this scenario, you can think of </w:t>
      </w:r>
      <w:proofErr w:type="spellStart"/>
      <w:r>
        <w:rPr>
          <w:rStyle w:val="Emphasis"/>
          <w:rFonts w:ascii="Helvetica" w:hAnsi="Helvetica" w:cs="Helvetica"/>
          <w:color w:val="333333"/>
          <w:sz w:val="21"/>
          <w:szCs w:val="21"/>
        </w:rPr>
        <w:t>SendGrid</w:t>
      </w:r>
      <w:proofErr w:type="spellEnd"/>
      <w:r>
        <w:rPr>
          <w:rStyle w:val="Emphasis"/>
          <w:rFonts w:ascii="Helvetica" w:hAnsi="Helvetica" w:cs="Helvetica"/>
          <w:color w:val="333333"/>
          <w:sz w:val="21"/>
          <w:szCs w:val="21"/>
        </w:rPr>
        <w:t xml:space="preserve"> as a person at the party grabbing both the </w:t>
      </w:r>
      <w:proofErr w:type="gramStart"/>
      <w:r>
        <w:rPr>
          <w:rStyle w:val="Emphasis"/>
          <w:rFonts w:ascii="Helvetica" w:hAnsi="Helvetica" w:cs="Helvetica"/>
          <w:color w:val="333333"/>
          <w:sz w:val="21"/>
          <w:szCs w:val="21"/>
        </w:rPr>
        <w:t>host’s</w:t>
      </w:r>
      <w:proofErr w:type="gramEnd"/>
      <w:r>
        <w:rPr>
          <w:rStyle w:val="Emphasis"/>
          <w:rFonts w:ascii="Helvetica" w:hAnsi="Helvetica" w:cs="Helvetica"/>
          <w:color w:val="333333"/>
          <w:sz w:val="21"/>
          <w:szCs w:val="21"/>
        </w:rPr>
        <w:t xml:space="preserve"> and guest’s hands and making the handshake and discussion actually happen.</w:t>
      </w: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85E70">
      <w:r>
        <w:rPr>
          <w:rStyle w:val="Emphasis"/>
          <w:rFonts w:ascii="Helvetica" w:hAnsi="Helvetica" w:cs="Helvetica"/>
          <w:b/>
          <w:bCs/>
          <w:color w:val="333333"/>
          <w:sz w:val="26"/>
          <w:szCs w:val="26"/>
          <w:u w:val="single"/>
        </w:rPr>
        <w:t>IBM DATABASE2</w:t>
      </w:r>
    </w:p>
    <w:p w:rsidR="00502B11" w:rsidRDefault="00585E70">
      <w:pPr>
        <w:rPr>
          <w:rFonts w:ascii="Arial" w:eastAsia="Times New Roman" w:hAnsi="Arial" w:cs="Arial"/>
          <w:b/>
          <w:bCs/>
          <w:color w:val="000000"/>
          <w:sz w:val="24"/>
          <w:szCs w:val="24"/>
          <w:lang w:eastAsia="en-IN"/>
        </w:rPr>
      </w:pPr>
      <w:r>
        <w:rPr>
          <w:rFonts w:ascii="Arial" w:eastAsia="Times New Roman" w:hAnsi="Arial" w:cs="Arial"/>
          <w:b/>
          <w:bCs/>
          <w:noProof/>
          <w:color w:val="000000"/>
          <w:sz w:val="24"/>
          <w:szCs w:val="24"/>
          <w:lang w:val="en-US"/>
        </w:rPr>
        <w:drawing>
          <wp:anchor distT="0" distB="0" distL="0" distR="0" simplePos="0" relativeHeight="5" behindDoc="0" locked="0" layoutInCell="0" allowOverlap="1">
            <wp:simplePos x="0" y="0"/>
            <wp:positionH relativeFrom="column">
              <wp:posOffset>1599565</wp:posOffset>
            </wp:positionH>
            <wp:positionV relativeFrom="paragraph">
              <wp:posOffset>-60960</wp:posOffset>
            </wp:positionV>
            <wp:extent cx="2800350" cy="162877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2800350" cy="1628775"/>
                    </a:xfrm>
                    <a:prstGeom prst="rect">
                      <a:avLst/>
                    </a:prstGeom>
                  </pic:spPr>
                </pic:pic>
              </a:graphicData>
            </a:graphic>
          </wp:anchor>
        </w:drawing>
      </w: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85E70">
      <w:pPr>
        <w:rPr>
          <w:rFonts w:ascii="Arial" w:eastAsia="Times New Roman" w:hAnsi="Arial" w:cs="Arial"/>
          <w:b/>
          <w:bCs/>
          <w:color w:val="000000"/>
          <w:sz w:val="24"/>
          <w:szCs w:val="24"/>
          <w:lang w:eastAsia="en-IN"/>
        </w:rPr>
      </w:pPr>
      <w:r>
        <w:rPr>
          <w:rStyle w:val="Emphasis"/>
          <w:rFonts w:ascii="Helvetica" w:hAnsi="Helvetica" w:cs="Helvetica"/>
          <w:color w:val="333333"/>
          <w:sz w:val="21"/>
          <w:szCs w:val="21"/>
        </w:rPr>
        <w:t xml:space="preserve"> </w:t>
      </w: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02B11">
      <w:pPr>
        <w:rPr>
          <w:rFonts w:ascii="Arial" w:eastAsia="Times New Roman" w:hAnsi="Arial" w:cs="Arial"/>
          <w:b/>
          <w:bCs/>
          <w:color w:val="000000"/>
          <w:sz w:val="24"/>
          <w:szCs w:val="24"/>
          <w:lang w:eastAsia="en-IN"/>
        </w:rPr>
      </w:pPr>
    </w:p>
    <w:p w:rsidR="00502B11" w:rsidRDefault="00585E70">
      <w:pPr>
        <w:rPr>
          <w:rFonts w:ascii="Arial" w:eastAsia="Times New Roman" w:hAnsi="Arial" w:cs="Arial"/>
          <w:b/>
          <w:bCs/>
          <w:color w:val="000000"/>
          <w:sz w:val="24"/>
          <w:szCs w:val="24"/>
          <w:lang w:eastAsia="en-IN"/>
        </w:rPr>
      </w:pPr>
      <w:r>
        <w:rPr>
          <w:rStyle w:val="Emphasis"/>
          <w:rFonts w:ascii="Helvetica" w:hAnsi="Helvetica" w:cs="Helvetica"/>
          <w:color w:val="333333"/>
          <w:sz w:val="21"/>
          <w:szCs w:val="21"/>
        </w:rPr>
        <w:t xml:space="preserve">The architecture of the DB2 is mainly divided into the DB2 client and DB2 server. The DB2 server consists of different agents and subagents. The two important components are the </w:t>
      </w:r>
      <w:proofErr w:type="spellStart"/>
      <w:r>
        <w:rPr>
          <w:rStyle w:val="Emphasis"/>
          <w:rFonts w:ascii="Helvetica" w:hAnsi="Helvetica" w:cs="Helvetica"/>
          <w:color w:val="333333"/>
          <w:sz w:val="21"/>
          <w:szCs w:val="21"/>
        </w:rPr>
        <w:t>prefetchers</w:t>
      </w:r>
      <w:proofErr w:type="spellEnd"/>
      <w:r>
        <w:rPr>
          <w:rStyle w:val="Emphasis"/>
          <w:rFonts w:ascii="Helvetica" w:hAnsi="Helvetica" w:cs="Helvetica"/>
          <w:color w:val="333333"/>
          <w:sz w:val="21"/>
          <w:szCs w:val="21"/>
        </w:rPr>
        <w:t xml:space="preserve"> and the page cleaners which maintain the data in buffer pools for fast and effective retrieval of data. </w:t>
      </w:r>
    </w:p>
    <w:p w:rsidR="00502B11" w:rsidRDefault="00502B11">
      <w:pPr>
        <w:rPr>
          <w:rFonts w:cstheme="minorHAnsi"/>
          <w:b/>
          <w:bCs/>
        </w:rPr>
      </w:pPr>
    </w:p>
    <w:p w:rsidR="00502B11" w:rsidRDefault="00502B11">
      <w:pPr>
        <w:rPr>
          <w:rFonts w:cstheme="minorHAnsi"/>
          <w:b/>
          <w:bCs/>
        </w:rPr>
      </w:pPr>
    </w:p>
    <w:p w:rsidR="00502B11" w:rsidRDefault="00585E70">
      <w:pPr>
        <w:rPr>
          <w:rFonts w:cstheme="minorHAnsi"/>
          <w:b/>
          <w:bCs/>
        </w:rPr>
      </w:pPr>
      <w:r>
        <w:t xml:space="preserve"> </w:t>
      </w:r>
    </w:p>
    <w:sectPr w:rsidR="00502B11">
      <w:pgSz w:w="11906" w:h="16838"/>
      <w:pgMar w:top="851"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B11"/>
    <w:rsid w:val="00502B11"/>
    <w:rsid w:val="00585E70"/>
    <w:rsid w:val="00EC2E4B"/>
    <w:rsid w:val="00EF717A"/>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70F207-7B25-491E-8104-9868A184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qFormat/>
    <w:rsid w:val="003C4A8E"/>
    <w:rPr>
      <w:color w:val="605E5C"/>
      <w:shd w:val="clear" w:color="auto" w:fill="E1DFDD"/>
    </w:rPr>
  </w:style>
  <w:style w:type="character" w:styleId="Emphasis">
    <w:name w:val="Emphasis"/>
    <w:basedOn w:val="DefaultParagraphFont"/>
    <w:uiPriority w:val="20"/>
    <w:qFormat/>
    <w:rsid w:val="008E20B8"/>
    <w:rPr>
      <w:i/>
      <w:iCs/>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qFormat/>
    <w:rsid w:val="009067B1"/>
    <w:pPr>
      <w:spacing w:beforeAutospacing="1"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5B21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Pages>
  <Words>299</Words>
  <Characters>1710</Characters>
  <Application>Microsoft Office Word</Application>
  <DocSecurity>0</DocSecurity>
  <Lines>14</Lines>
  <Paragraphs>4</Paragraphs>
  <ScaleCrop>false</ScaleCrop>
  <Company/>
  <LinksUpToDate>false</LinksUpToDate>
  <CharactersWithSpaces>2005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dc:description/>
  <cp:lastModifiedBy>Microsoft account</cp:lastModifiedBy>
  <cp:revision>8</cp:revision>
  <dcterms:created xsi:type="dcterms:W3CDTF">2022-10-03T08:27:00Z</dcterms:created>
  <dcterms:modified xsi:type="dcterms:W3CDTF">2022-10-13T05:07:00Z</dcterms:modified>
  <dc:language>en-IN</dc:language>
</cp:coreProperties>
</file>