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PNT2022TMID36001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 Lender - Applicant Credibility Prediction for Loan Approval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620"/>
        <w:gridCol w:w="1140"/>
        <w:gridCol w:w="3375"/>
        <w:gridCol w:w="1155"/>
        <w:gridCol w:w="1185"/>
        <w:gridCol w:w="1380"/>
        <w:tblGridChange w:id="0">
          <w:tblGrid>
            <w:gridCol w:w="1365"/>
            <w:gridCol w:w="1620"/>
            <w:gridCol w:w="1140"/>
            <w:gridCol w:w="3375"/>
            <w:gridCol w:w="1155"/>
            <w:gridCol w:w="1185"/>
            <w:gridCol w:w="1380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application by entering my email, password, and confirming my password.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Praveen Kumar V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Deekshetha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will receive confirmation email once I have registered for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Nandhini V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application through Facebook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Nivedha N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register for the application through Gmail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Harish B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can log into the application by entering email &amp; password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Deekshetha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should be able to experience a smooth user interface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Nivedha N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Nandhini V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Dataset Collection and preprocessing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necessary and legal data for loan approval check should be collected and preprocessed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Praveen Kumar V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Harish B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Deekshetha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- 3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building and training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Suitable model that could be trained and tested with accurate performance has to built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Nivedha N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Praveen Kumar V</w:t>
              <w:br w:type="textWrapping"/>
              <w:t xml:space="preserve">Nandhini V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- 3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testing and Prediction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that is built should be tested, predicted and accuracy is noted. Improvements in accuracy should also be made.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Harish B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Deekshetha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- 4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Integration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 frontend and backend using flask server and deploy in IBM cloud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Praveen Kumar V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Harish B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- 4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application is tested for deployment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Nivedha N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Deekshetha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Nandhini V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3"/>
        <w:tblW w:w="109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1340"/>
        <w:gridCol w:w="940"/>
        <w:gridCol w:w="1600"/>
        <w:gridCol w:w="1800"/>
        <w:gridCol w:w="1600"/>
        <w:gridCol w:w="2080"/>
        <w:tblGridChange w:id="0">
          <w:tblGrid>
            <w:gridCol w:w="1540"/>
            <w:gridCol w:w="1340"/>
            <w:gridCol w:w="940"/>
            <w:gridCol w:w="1600"/>
            <w:gridCol w:w="1800"/>
            <w:gridCol w:w="1600"/>
            <w:gridCol w:w="20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Oct 2022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Oct 2022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 Oct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Oct 2022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Nov 2022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 Nov 2022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Nov 2022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Nov 2022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Nov 2022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Nov 2022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 Nov 2022</w:t>
            </w:r>
          </w:p>
        </w:tc>
      </w:tr>
    </w:tbl>
    <w:p w:rsidR="00000000" w:rsidDel="00000000" w:rsidP="00000000" w:rsidRDefault="00000000" w:rsidRPr="00000000" w14:paraId="0000009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240" w:lineRule="auto"/>
        <w:rPr>
          <w:b w:val="1"/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Velocity:</w:t>
      </w:r>
    </w:p>
    <w:p w:rsidR="00000000" w:rsidDel="00000000" w:rsidP="00000000" w:rsidRDefault="00000000" w:rsidRPr="00000000" w14:paraId="00000097">
      <w:pPr>
        <w:shd w:fill="ffffff" w:val="clear"/>
        <w:spacing w:line="240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Imagine we have a 10-day sprint duration, and the velocity of the team is 20 (points per sprint). Let’s calculate the team’s average velocity (AV) per iteration unit (story points per day)</w:t>
      </w:r>
    </w:p>
    <w:p w:rsidR="00000000" w:rsidDel="00000000" w:rsidP="00000000" w:rsidRDefault="00000000" w:rsidRPr="00000000" w14:paraId="00000098">
      <w:pPr>
        <w:shd w:fill="ffffff" w:val="clear"/>
        <w:spacing w:after="300" w:line="240" w:lineRule="auto"/>
        <w:jc w:val="center"/>
        <w:rPr>
          <w:color w:val="172b4d"/>
          <w:sz w:val="28"/>
          <w:szCs w:val="28"/>
        </w:rPr>
      </w:pPr>
      <w:r w:rsidDel="00000000" w:rsidR="00000000" w:rsidRPr="00000000">
        <w:rPr>
          <w:color w:val="172b4d"/>
          <w:sz w:val="28"/>
          <w:szCs w:val="28"/>
        </w:rPr>
        <w:drawing>
          <wp:inline distB="0" distT="0" distL="0" distR="0">
            <wp:extent cx="3562350" cy="800100"/>
            <wp:effectExtent b="0" l="0" r="0" t="0"/>
            <wp:docPr descr="Screen Shot 2016-06-16 at 1.37.43 PM" id="2" name="image1.png"/>
            <a:graphic>
              <a:graphicData uri="http://schemas.openxmlformats.org/drawingml/2006/picture">
                <pic:pic>
                  <pic:nvPicPr>
                    <pic:cNvPr descr="Screen Shot 2016-06-16 at 1.37.43 PM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300" w:line="240" w:lineRule="auto"/>
        <w:rPr>
          <w:b w:val="1"/>
          <w:color w:val="172b4d"/>
        </w:rPr>
      </w:pPr>
      <w:r w:rsidDel="00000000" w:rsidR="00000000" w:rsidRPr="00000000">
        <w:rPr>
          <w:b w:val="1"/>
          <w:color w:val="172b4d"/>
          <w:rtl w:val="0"/>
        </w:rPr>
        <w:t xml:space="preserve">Burndown Chart: </w:t>
      </w:r>
    </w:p>
    <w:p w:rsidR="00000000" w:rsidDel="00000000" w:rsidP="00000000" w:rsidRDefault="00000000" w:rsidRPr="00000000" w14:paraId="0000009D">
      <w:pPr>
        <w:shd w:fill="ffffff" w:val="clear"/>
        <w:spacing w:line="240" w:lineRule="auto"/>
        <w:rPr>
          <w:color w:val="172b4d"/>
        </w:rPr>
      </w:pPr>
      <w:r w:rsidDel="00000000" w:rsidR="00000000" w:rsidRPr="00000000">
        <w:rPr>
          <w:color w:val="172b4d"/>
          <w:rtl w:val="0"/>
        </w:rPr>
        <w:t xml:space="preserve">A burndown chart is a graphical representation of work left to do versus time. It is often used in agile</w:t>
      </w:r>
      <w:hyperlink r:id="rId7">
        <w:r w:rsidDel="00000000" w:rsidR="00000000" w:rsidRPr="00000000">
          <w:rPr>
            <w:color w:val="172b4d"/>
            <w:rtl w:val="0"/>
          </w:rPr>
          <w:t xml:space="preserve"> software development</w:t>
        </w:r>
      </w:hyperlink>
      <w:r w:rsidDel="00000000" w:rsidR="00000000" w:rsidRPr="00000000">
        <w:rPr>
          <w:color w:val="172b4d"/>
          <w:rtl w:val="0"/>
        </w:rPr>
        <w:t xml:space="preserve"> methodologies such as </w:t>
      </w:r>
      <w:hyperlink r:id="rId8">
        <w:r w:rsidDel="00000000" w:rsidR="00000000" w:rsidRPr="00000000">
          <w:rPr>
            <w:color w:val="172b4d"/>
            <w:rtl w:val="0"/>
          </w:rPr>
          <w:t xml:space="preserve">Scrum</w:t>
        </w:r>
      </w:hyperlink>
      <w:r w:rsidDel="00000000" w:rsidR="00000000" w:rsidRPr="00000000">
        <w:rPr>
          <w:color w:val="172b4d"/>
          <w:rtl w:val="0"/>
        </w:rPr>
        <w:t xml:space="preserve">. However, burn down charts can be applied to any project containing measurable progress over time.</w:t>
      </w:r>
    </w:p>
    <w:p w:rsidR="00000000" w:rsidDel="00000000" w:rsidP="00000000" w:rsidRDefault="00000000" w:rsidRPr="00000000" w14:paraId="0000009E">
      <w:pPr>
        <w:shd w:fill="ffffff" w:val="clear"/>
        <w:spacing w:line="240" w:lineRule="auto"/>
        <w:rPr>
          <w:color w:val="172b4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1900238</wp:posOffset>
            </wp:positionH>
            <wp:positionV relativeFrom="paragraph">
              <wp:posOffset>255891</wp:posOffset>
            </wp:positionV>
            <wp:extent cx="3057525" cy="26765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Working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hours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Total sprints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visual-paradigm.com/scrum/what-is-agile-software-development/" TargetMode="External"/><Relationship Id="rId8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