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663" w:leader="none"/>
          <w:tab w:val="left" w:pos="9338" w:leader="none"/>
          <w:tab w:val="left" w:pos="11250" w:leader="none"/>
        </w:tabs>
        <w:spacing w:before="11" w:after="0" w:line="240"/>
        <w:ind w:right="-9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92" w:after="0" w:line="240"/>
        <w:ind w:right="2600" w:left="2594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27" w:after="0" w:line="240"/>
        <w:ind w:right="2601" w:left="2594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Template (Product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Planning,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Stories,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Story</w:t>
      </w:r>
      <w:r>
        <w:rPr>
          <w:rFonts w:ascii="Arial" w:hAnsi="Arial" w:cs="Arial" w:eastAsia="Arial"/>
          <w:b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points)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u w:val="single"/>
          <w:shd w:fill="auto" w:val="clear"/>
        </w:rPr>
      </w:pPr>
    </w:p>
    <w:tbl>
      <w:tblPr>
        <w:tblInd w:w="14" w:type="dxa"/>
      </w:tblPr>
      <w:tblGrid>
        <w:gridCol w:w="2096"/>
        <w:gridCol w:w="9944"/>
      </w:tblGrid>
      <w:tr>
        <w:trPr>
          <w:trHeight w:val="263" w:hRule="auto"/>
          <w:jc w:val="left"/>
        </w:trPr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9 November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76" w:hRule="auto"/>
          <w:jc w:val="left"/>
        </w:trPr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9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293" w:leader="none"/>
              </w:tabs>
              <w:spacing w:before="0" w:after="0" w:line="240"/>
              <w:ind w:right="-1208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PNT2022TMID19033</w:t>
            </w:r>
          </w:p>
        </w:tc>
      </w:tr>
      <w:tr>
        <w:trPr>
          <w:trHeight w:val="251" w:hRule="auto"/>
          <w:jc w:val="left"/>
        </w:trPr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River Water Quality Monitoring and Control System</w:t>
            </w:r>
          </w:p>
        </w:tc>
      </w:tr>
      <w:tr>
        <w:trPr>
          <w:trHeight w:val="254" w:hRule="auto"/>
          <w:jc w:val="left"/>
        </w:trPr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9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-1482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u w:val="single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Product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Schedule,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Estimation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Marks)</w:t>
      </w:r>
    </w:p>
    <w:p>
      <w:pPr>
        <w:spacing w:before="179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create product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backlog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schedule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1059"/>
        <w:gridCol w:w="2281"/>
        <w:gridCol w:w="1313"/>
        <w:gridCol w:w="3029"/>
        <w:gridCol w:w="3843"/>
        <w:gridCol w:w="1565"/>
        <w:gridCol w:w="1450"/>
      </w:tblGrid>
      <w:tr>
        <w:trPr>
          <w:trHeight w:val="460" w:hRule="auto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1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2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1054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5" w:left="88" w:firstLine="0"/>
              <w:jc w:val="center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690" w:hRule="auto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7" w:left="107" w:firstLine="0"/>
              <w:jc w:val="both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 my email, password, and confirming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2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 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once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have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registered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8" w:hRule="auto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24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Facebook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24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Gmail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68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 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into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 email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Tracker,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Velocity &amp;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Burndown Chart: (4 Marks)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u w:val="single"/>
          <w:shd w:fill="auto" w:val="clear"/>
        </w:rPr>
      </w:pPr>
    </w:p>
    <w:tbl>
      <w:tblPr>
        <w:tblInd w:w="110" w:type="dxa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>
        <w:trPr>
          <w:trHeight w:val="688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58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Total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35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  <w:p>
            <w:pPr>
              <w:spacing w:before="0" w:after="0" w:line="240"/>
              <w:ind w:right="189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 (as on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13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366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7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56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u w:val="single"/>
          <w:shd w:fill="auto" w:val="clear"/>
        </w:rPr>
        <w:t xml:space="preserve">Velocity:</w:t>
      </w:r>
    </w:p>
    <w:p>
      <w:pPr>
        <w:spacing w:before="2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Imagine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we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have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10-day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sprint duration,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velocity of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team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 MT" w:hAnsi="Arial MT" w:cs="Arial MT" w:eastAsia="Arial MT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(points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sprint). Let’s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calculate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team’s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(AV)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unit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(story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day)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  <w:r>
        <w:object w:dxaOrig="6276" w:dyaOrig="911">
          <v:rect xmlns:o="urn:schemas-microsoft-com:office:office" xmlns:v="urn:schemas-microsoft-com:vml" id="rectole0000000000" style="width:313.800000pt;height:4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u w:val="single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172B4D"/>
          <w:spacing w:val="-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72B4D"/>
          <w:spacing w:val="0"/>
          <w:position w:val="0"/>
          <w:sz w:val="22"/>
          <w:u w:val="single"/>
          <w:shd w:fill="auto" w:val="clear"/>
        </w:rPr>
        <w:t xml:space="preserve">Chart: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625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 burn down chart is a graphical representation of work left to do versus time. It is often used in agile </w:t>
      </w:r>
      <w:hyperlink xmlns:r="http://schemas.openxmlformats.org/officeDocument/2006/relationships" r:id="docRId2">
        <w:r>
          <w:rPr>
            <w:rFonts w:ascii="Arial MT" w:hAnsi="Arial MT" w:cs="Arial MT" w:eastAsia="Arial MT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software development </w:t>
        </w:r>
      </w:hyperlink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methodologies such</w:t>
      </w:r>
      <w:r>
        <w:rPr>
          <w:rFonts w:ascii="Arial MT" w:hAnsi="Arial MT" w:cs="Arial MT" w:eastAsia="Arial MT"/>
          <w:color w:val="172B4D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as </w:t>
      </w:r>
      <w:hyperlink xmlns:r="http://schemas.openxmlformats.org/officeDocument/2006/relationships" r:id="docRId3">
        <w:r>
          <w:rPr>
            <w:rFonts w:ascii="Arial MT" w:hAnsi="Arial MT" w:cs="Arial MT" w:eastAsia="Arial MT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Scrum</w:t>
        </w:r>
      </w:hyperlink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However,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burn down charts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can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be applied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to any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containing measurable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progress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over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time.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05" w:after="0" w:line="456"/>
        <w:ind w:right="7893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-1"/>
            <w:position w:val="0"/>
            <w:sz w:val="22"/>
            <w:u w:val="single"/>
            <w:shd w:fill="auto" w:val="clear"/>
          </w:rPr>
          <w:t xml:space="preserve">https://www.visual-paradigm.com/scrum/scrum-burndown-chart/</w:t>
        </w:r>
      </w:hyperlink>
      <w:r>
        <w:rPr>
          <w:rFonts w:ascii="Arial" w:hAnsi="Arial" w:cs="Arial" w:eastAsia="Arial"/>
          <w:b/>
          <w:color w:val="0462C1"/>
          <w:spacing w:val="0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https://www.atlassian.com/agile/tutorials/burndown-charts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u w:val="single"/>
          <w:shd w:fill="auto" w:val="clear"/>
        </w:rPr>
        <w:t xml:space="preserve">Reference: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</w:pPr>
    </w:p>
    <w:p>
      <w:pPr>
        <w:spacing w:before="0" w:after="0" w:line="456"/>
        <w:ind w:right="6646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https://www.atlassian.com/agile/project-management</w:t>
        </w:r>
      </w:hyperlink>
      <w:r>
        <w:rPr>
          <w:rFonts w:ascii="Arial" w:hAnsi="Arial" w:cs="Arial" w:eastAsia="Arial"/>
          <w:b/>
          <w:color w:val="0462C1"/>
          <w:spacing w:val="1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-1"/>
            <w:position w:val="0"/>
            <w:sz w:val="22"/>
            <w:u w:val="single"/>
            <w:shd w:fill="auto" w:val="clear"/>
          </w:rPr>
          <w:t xml:space="preserve">https://www.atlassian.com/agile/tutorials/how-to-do-scrum-with-jira-software</w:t>
        </w:r>
      </w:hyperlink>
      <w:r>
        <w:rPr>
          <w:rFonts w:ascii="Arial" w:hAnsi="Arial" w:cs="Arial" w:eastAsia="Arial"/>
          <w:b/>
          <w:color w:val="0462C1"/>
          <w:spacing w:val="0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https://www.atlassian.com/agile/tutorials/epics</w:t>
        </w:r>
      </w:hyperlink>
      <w:r>
        <w:rPr>
          <w:rFonts w:ascii="Arial" w:hAnsi="Arial" w:cs="Arial" w:eastAsia="Arial"/>
          <w:b/>
          <w:color w:val="0462C1"/>
          <w:spacing w:val="1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https://www.atlassian.com/agile/tutorials/sprints</w:t>
        </w:r>
      </w:hyperlink>
      <w:r>
        <w:rPr>
          <w:rFonts w:ascii="Arial" w:hAnsi="Arial" w:cs="Arial" w:eastAsia="Arial"/>
          <w:b/>
          <w:color w:val="0462C1"/>
          <w:spacing w:val="1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https://www.atlassian.com/agile/project-management/estimation</w:t>
        </w:r>
      </w:hyperlink>
      <w:r>
        <w:rPr>
          <w:rFonts w:ascii="Arial" w:hAnsi="Arial" w:cs="Arial" w:eastAsia="Arial"/>
          <w:b/>
          <w:color w:val="0462C1"/>
          <w:spacing w:val="1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https://www.atlassian.com/agile/tutorials/burndown-charts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www.visual-paradigm.com/scrum/scrum-in-3-minutes/" Id="docRId3" Type="http://schemas.openxmlformats.org/officeDocument/2006/relationships/hyperlink" /><Relationship TargetMode="External" Target="https://www.atlassian.com/agile/tutorials/how-to-do-scrum-with-jira-software" Id="docRId7" Type="http://schemas.openxmlformats.org/officeDocument/2006/relationships/hyperlink" /><Relationship TargetMode="External" Target="https://www.atlassian.com/agile/project-management/estimation" Id="docRId10" Type="http://schemas.openxmlformats.org/officeDocument/2006/relationships/hyperlink" /><Relationship TargetMode="External" Target="https://www.visual-paradigm.com/scrum/what-is-agile-software-development/" Id="docRId2" Type="http://schemas.openxmlformats.org/officeDocument/2006/relationships/hyperlink" /><Relationship TargetMode="External" Target="https://www.atlassian.com/agile/project-management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www.atlassian.com/agile/tutorials/burndown-charts" Id="docRId11" Type="http://schemas.openxmlformats.org/officeDocument/2006/relationships/hyperlink" /><Relationship TargetMode="External" Target="https://www.atlassian.com/agile/tutorials/burndown-charts" Id="docRId5" Type="http://schemas.openxmlformats.org/officeDocument/2006/relationships/hyperlink" /><Relationship TargetMode="External" Target="https://www.atlassian.com/agile/tutorials/sprints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Mode="External" Target="https://www.visual-paradigm.com/scrum/scrum-burndown-chart/" Id="docRId4" Type="http://schemas.openxmlformats.org/officeDocument/2006/relationships/hyperlink" /><Relationship TargetMode="External" Target="https://www.atlassian.com/agile/tutorials/epics" Id="docRId8" Type="http://schemas.openxmlformats.org/officeDocument/2006/relationships/hyperlink" /></Relationships>
</file>