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43D" w:rsidRDefault="008D62EE">
      <w:pPr>
        <w:spacing w:after="0" w:line="259" w:lineRule="auto"/>
        <w:ind w:left="246" w:right="2"/>
        <w:jc w:val="center"/>
      </w:pPr>
      <w:r>
        <w:rPr>
          <w:b/>
          <w:sz w:val="24"/>
        </w:rPr>
        <w:t xml:space="preserve">Project Design Phase-II </w:t>
      </w:r>
    </w:p>
    <w:p w:rsidR="001E643D" w:rsidRDefault="008D62EE">
      <w:pPr>
        <w:spacing w:after="0" w:line="259" w:lineRule="auto"/>
        <w:ind w:left="246"/>
        <w:jc w:val="center"/>
      </w:pPr>
      <w:r>
        <w:rPr>
          <w:b/>
          <w:sz w:val="24"/>
        </w:rPr>
        <w:t xml:space="preserve">Data Flow Diagram &amp; User Stories </w:t>
      </w:r>
    </w:p>
    <w:p w:rsidR="001E643D" w:rsidRDefault="008D62EE">
      <w:pPr>
        <w:spacing w:after="0" w:line="259" w:lineRule="auto"/>
        <w:ind w:left="296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1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1E643D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2" w:firstLine="0"/>
            </w:pPr>
            <w:r>
              <w:t xml:space="preserve">03 October 2022 </w:t>
            </w:r>
          </w:p>
        </w:tc>
      </w:tr>
      <w:tr w:rsidR="001E643D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</w:rPr>
              <w:t>PNT2022TMID26770</w:t>
            </w:r>
          </w:p>
        </w:tc>
      </w:tr>
      <w:tr w:rsidR="001E643D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</w:rPr>
              <w:t xml:space="preserve">Project – </w:t>
            </w:r>
            <w:r>
              <w:rPr>
                <w:rFonts w:ascii="Calibri" w:eastAsia="Calibri" w:hAnsi="Calibri" w:cs="Calibri"/>
              </w:rPr>
              <w:t>Natural Disasters Intensity Analysis and Classification using Artificial Intelligence</w:t>
            </w:r>
            <w:r>
              <w:t xml:space="preserve"> </w:t>
            </w:r>
          </w:p>
        </w:tc>
      </w:tr>
      <w:tr w:rsidR="001E643D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2" w:firstLine="0"/>
            </w:pPr>
            <w:r>
              <w:t xml:space="preserve">4 Marks </w:t>
            </w:r>
          </w:p>
        </w:tc>
      </w:tr>
    </w:tbl>
    <w:p w:rsidR="001E643D" w:rsidRDefault="008D62EE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:rsidR="001E643D" w:rsidRDefault="008D62EE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:rsidR="001E643D" w:rsidRDefault="008D62EE">
      <w:pPr>
        <w:spacing w:after="159" w:line="259" w:lineRule="auto"/>
        <w:ind w:left="-5"/>
      </w:pPr>
      <w:r>
        <w:rPr>
          <w:b/>
        </w:rPr>
        <w:t xml:space="preserve">Data Flow Diagrams: </w:t>
      </w:r>
    </w:p>
    <w:p w:rsidR="001E643D" w:rsidRDefault="008D62EE">
      <w:pPr>
        <w:spacing w:after="159"/>
        <w:ind w:left="-5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 xml:space="preserve">the information, and where data is stored. </w:t>
      </w:r>
    </w:p>
    <w:p w:rsidR="001E643D" w:rsidRDefault="008D62EE">
      <w:pPr>
        <w:spacing w:after="158" w:line="259" w:lineRule="auto"/>
        <w:ind w:left="0" w:firstLine="0"/>
      </w:pPr>
      <w:r>
        <w:t xml:space="preserve">                                    </w:t>
      </w:r>
    </w:p>
    <w:p w:rsidR="001E643D" w:rsidRDefault="008D62EE">
      <w:pPr>
        <w:spacing w:after="160" w:line="259" w:lineRule="auto"/>
        <w:ind w:left="0" w:firstLine="0"/>
      </w:pPr>
      <w:r>
        <w:t xml:space="preserve"> </w:t>
      </w:r>
    </w:p>
    <w:p w:rsidR="001E643D" w:rsidRDefault="008D62EE">
      <w:pPr>
        <w:spacing w:after="158" w:line="259" w:lineRule="auto"/>
        <w:ind w:left="0" w:firstLine="0"/>
      </w:pPr>
      <w:r>
        <w:t xml:space="preserve"> </w:t>
      </w:r>
    </w:p>
    <w:p w:rsidR="001E643D" w:rsidRDefault="008D62EE">
      <w:pPr>
        <w:spacing w:after="160" w:line="259" w:lineRule="auto"/>
        <w:ind w:left="0" w:firstLine="0"/>
      </w:pPr>
      <w:r>
        <w:t xml:space="preserve">  </w:t>
      </w:r>
    </w:p>
    <w:p w:rsidR="001E643D" w:rsidRDefault="008D62EE">
      <w:pPr>
        <w:spacing w:after="158" w:line="259" w:lineRule="auto"/>
        <w:ind w:left="0" w:firstLine="0"/>
      </w:pPr>
      <w:r>
        <w:t xml:space="preserve"> </w:t>
      </w:r>
    </w:p>
    <w:p w:rsidR="001E643D" w:rsidRDefault="008D62EE">
      <w:pPr>
        <w:spacing w:after="160" w:line="259" w:lineRule="auto"/>
        <w:ind w:left="0" w:firstLine="0"/>
      </w:pPr>
      <w:r>
        <w:t xml:space="preserve"> </w:t>
      </w:r>
    </w:p>
    <w:p w:rsidR="001E643D" w:rsidRDefault="008D62EE">
      <w:pPr>
        <w:spacing w:after="158" w:line="259" w:lineRule="auto"/>
        <w:ind w:left="0" w:firstLine="0"/>
      </w:pPr>
      <w:r>
        <w:t xml:space="preserve"> </w:t>
      </w:r>
    </w:p>
    <w:p w:rsidR="001E643D" w:rsidRDefault="008D62EE">
      <w:pPr>
        <w:spacing w:after="158" w:line="259" w:lineRule="auto"/>
        <w:ind w:left="0" w:firstLine="0"/>
      </w:pPr>
      <w:r>
        <w:t xml:space="preserve"> </w:t>
      </w:r>
    </w:p>
    <w:p w:rsidR="001E643D" w:rsidRDefault="008D62EE">
      <w:pPr>
        <w:spacing w:after="160" w:line="259" w:lineRule="auto"/>
        <w:ind w:left="0" w:firstLine="0"/>
      </w:pPr>
      <w:r>
        <w:t xml:space="preserve"> </w:t>
      </w:r>
    </w:p>
    <w:p w:rsidR="001E643D" w:rsidRDefault="008D62EE">
      <w:pPr>
        <w:spacing w:after="158" w:line="259" w:lineRule="auto"/>
        <w:ind w:left="0" w:firstLine="0"/>
      </w:pPr>
      <w:r>
        <w:t xml:space="preserve"> </w:t>
      </w:r>
    </w:p>
    <w:p w:rsidR="001E643D" w:rsidRDefault="008D62EE">
      <w:pPr>
        <w:spacing w:after="0" w:line="259" w:lineRule="auto"/>
        <w:ind w:left="0" w:firstLine="0"/>
      </w:pPr>
      <w:r>
        <w:t xml:space="preserve"> </w:t>
      </w:r>
    </w:p>
    <w:p w:rsidR="001E643D" w:rsidRDefault="008D62EE">
      <w:pPr>
        <w:spacing w:after="158" w:line="259" w:lineRule="auto"/>
        <w:ind w:left="0" w:firstLine="0"/>
      </w:pPr>
      <w:r>
        <w:t xml:space="preserve"> </w:t>
      </w:r>
    </w:p>
    <w:p w:rsidR="001E643D" w:rsidRDefault="008D62EE">
      <w:pPr>
        <w:spacing w:after="153" w:line="259" w:lineRule="auto"/>
        <w:ind w:left="0" w:firstLine="0"/>
      </w:pPr>
      <w:r>
        <w:t xml:space="preserve"> </w:t>
      </w:r>
    </w:p>
    <w:p w:rsidR="001E643D" w:rsidRDefault="008D62EE">
      <w:pPr>
        <w:spacing w:after="112" w:line="259" w:lineRule="auto"/>
        <w:ind w:left="0" w:firstLine="0"/>
        <w:jc w:val="both"/>
      </w:pPr>
      <w:r>
        <w:t xml:space="preserve">              </w:t>
      </w:r>
      <w:r>
        <w:rPr>
          <w:noProof/>
        </w:rPr>
        <w:drawing>
          <wp:inline distT="0" distB="0" distL="0" distR="0">
            <wp:extent cx="7513320" cy="4776470"/>
            <wp:effectExtent l="0" t="0" r="0" b="0"/>
            <wp:docPr id="424" name="Picture 424" descr="Untitled Worksp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332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643D" w:rsidRDefault="008D62EE">
      <w:pPr>
        <w:spacing w:after="158" w:line="259" w:lineRule="auto"/>
        <w:ind w:left="0" w:firstLine="0"/>
      </w:pPr>
      <w:r>
        <w:t xml:space="preserve"> </w:t>
      </w:r>
    </w:p>
    <w:p w:rsidR="001E643D" w:rsidRDefault="008D62EE">
      <w:pPr>
        <w:spacing w:after="0" w:line="259" w:lineRule="auto"/>
        <w:ind w:left="0" w:firstLine="0"/>
      </w:pPr>
      <w:r>
        <w:t xml:space="preserve"> </w:t>
      </w:r>
    </w:p>
    <w:p w:rsidR="001E643D" w:rsidRDefault="008D62EE">
      <w:pPr>
        <w:spacing w:after="159" w:line="259" w:lineRule="auto"/>
        <w:ind w:left="-5"/>
      </w:pPr>
      <w:r>
        <w:rPr>
          <w:b/>
        </w:rPr>
        <w:t>User Stories</w:t>
      </w:r>
      <w:r>
        <w:t xml:space="preserve"> </w:t>
      </w:r>
    </w:p>
    <w:p w:rsidR="001E643D" w:rsidRDefault="008D62EE">
      <w:pPr>
        <w:ind w:left="-5"/>
      </w:pPr>
      <w:r>
        <w:t xml:space="preserve">Use the below template to list all the user stories for the product. </w:t>
      </w:r>
    </w:p>
    <w:tbl>
      <w:tblPr>
        <w:tblStyle w:val="TableGrid"/>
        <w:tblW w:w="14500" w:type="dxa"/>
        <w:tblInd w:w="-108" w:type="dxa"/>
        <w:tblCellMar>
          <w:top w:w="12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762"/>
        <w:gridCol w:w="1843"/>
        <w:gridCol w:w="1304"/>
        <w:gridCol w:w="4279"/>
        <w:gridCol w:w="2578"/>
        <w:gridCol w:w="1366"/>
        <w:gridCol w:w="1368"/>
      </w:tblGrid>
      <w:tr w:rsidR="001E643D">
        <w:trPr>
          <w:trHeight w:val="914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User Type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Functional </w:t>
            </w:r>
          </w:p>
          <w:p w:rsidR="001E643D" w:rsidRDefault="008D62EE">
            <w:pPr>
              <w:spacing w:after="2" w:line="259" w:lineRule="auto"/>
              <w:ind w:left="0" w:firstLine="0"/>
            </w:pPr>
            <w:r>
              <w:rPr>
                <w:b/>
                <w:sz w:val="20"/>
              </w:rPr>
              <w:t xml:space="preserve">Requirement </w:t>
            </w:r>
          </w:p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(Epic)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User Story </w:t>
            </w:r>
          </w:p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Number 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User Story / Task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Acceptance criteria 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1" w:firstLine="0"/>
            </w:pPr>
            <w:r>
              <w:rPr>
                <w:b/>
                <w:sz w:val="20"/>
              </w:rPr>
              <w:t xml:space="preserve">Priority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Release </w:t>
            </w:r>
          </w:p>
        </w:tc>
      </w:tr>
      <w:tr w:rsidR="001E643D">
        <w:trPr>
          <w:trHeight w:val="915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Customer </w:t>
            </w:r>
          </w:p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(Mobile user)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Registration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USN-1 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I can access my account / dashboard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1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1E643D">
        <w:trPr>
          <w:trHeight w:val="667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Login /Dashboard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USN-2 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I can receive confirmation email &amp; click confirm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1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1E643D">
        <w:trPr>
          <w:trHeight w:val="665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Customer (Web user)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Registration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USN-3 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As a user, I can register for the application through Gmail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I can register &amp; access the dashboard wih google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1" w:firstLine="0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1E643D">
        <w:trPr>
          <w:trHeight w:val="667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Login /Dashboard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USN-4 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I can access my account / dashboard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1" w:firstLine="0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1E643D">
        <w:trPr>
          <w:trHeight w:val="915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Admin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Login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USN-5 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Admin can change the data and monitor the functionality of the programme.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right="635" w:firstLine="0"/>
              <w:jc w:val="both"/>
            </w:pPr>
            <w:r>
              <w:rPr>
                <w:sz w:val="20"/>
              </w:rPr>
              <w:t xml:space="preserve">Admin can carry out actions and make modifications.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1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1E643D">
        <w:trPr>
          <w:trHeight w:val="1188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Seismologist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right="24" w:firstLine="0"/>
            </w:pPr>
            <w:r>
              <w:rPr>
                <w:sz w:val="20"/>
              </w:rPr>
              <w:t xml:space="preserve">Disaster prediction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USN-6 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Seismologists use the website to review the previous dataset and contrast it with the current data.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right="548" w:firstLine="0"/>
            </w:pPr>
            <w:r>
              <w:rPr>
                <w:sz w:val="20"/>
              </w:rPr>
              <w:t>They can draw the conclusion about the seismic influence based on the results</w:t>
            </w:r>
            <w:r>
              <w:t xml:space="preserve">.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1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Sprint-2 </w:t>
            </w:r>
          </w:p>
        </w:tc>
      </w:tr>
      <w:tr w:rsidR="001E643D">
        <w:trPr>
          <w:trHeight w:val="915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USN-7 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They can forewarn of impending events in advance.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1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Sprint-2 </w:t>
            </w:r>
          </w:p>
        </w:tc>
      </w:tr>
      <w:tr w:rsidR="001E643D">
        <w:trPr>
          <w:trHeight w:val="914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color w:val="202124"/>
                <w:sz w:val="20"/>
              </w:rPr>
              <w:t>Meteorologists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right="24" w:firstLine="0"/>
            </w:pPr>
            <w:r>
              <w:rPr>
                <w:sz w:val="20"/>
              </w:rPr>
              <w:t xml:space="preserve">Disaster prediction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USN-8 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Meteorologists use this website to monitor global weather and climate fluctuations.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They are able to give early warning of imminent events.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1" w:firstLine="0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Sprint-2 </w:t>
            </w:r>
          </w:p>
        </w:tc>
      </w:tr>
      <w:tr w:rsidR="001E643D">
        <w:trPr>
          <w:trHeight w:val="667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NDRF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Rescue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USN-9 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In order to save more lives, they can expedite the rescue effort thanks to the early warning.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Their fast response can reduce casualties.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1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43D" w:rsidRDefault="008D62E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Sprint-2 </w:t>
            </w:r>
          </w:p>
        </w:tc>
      </w:tr>
    </w:tbl>
    <w:p w:rsidR="001E643D" w:rsidRDefault="008D62EE">
      <w:pPr>
        <w:spacing w:after="0" w:line="259" w:lineRule="auto"/>
        <w:ind w:left="0" w:firstLine="0"/>
        <w:jc w:val="both"/>
      </w:pPr>
      <w:r>
        <w:t xml:space="preserve"> </w:t>
      </w:r>
    </w:p>
    <w:sectPr w:rsidR="001E643D">
      <w:pgSz w:w="16838" w:h="11906" w:orient="landscape"/>
      <w:pgMar w:top="1447" w:right="1087" w:bottom="11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43D"/>
    <w:rsid w:val="001E643D"/>
    <w:rsid w:val="006074BE"/>
    <w:rsid w:val="008D62EE"/>
    <w:rsid w:val="0097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D8BEE"/>
  <w15:docId w15:val="{751C94F3-433F-0D4A-A437-3565D250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Arial" w:eastAsia="Arial" w:hAnsi="Arial" w:cs="Arial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manimegalaib1512@gmail.com</cp:lastModifiedBy>
  <cp:revision>2</cp:revision>
  <dcterms:created xsi:type="dcterms:W3CDTF">2022-11-04T08:46:00Z</dcterms:created>
  <dcterms:modified xsi:type="dcterms:W3CDTF">2022-11-04T08:46:00Z</dcterms:modified>
</cp:coreProperties>
</file>