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E5" w:rsidRDefault="006F5BEB">
      <w:pPr>
        <w:pStyle w:val="Heading1"/>
        <w:spacing w:before="80"/>
        <w:ind w:left="2834" w:right="3491" w:firstLine="0"/>
        <w:jc w:val="center"/>
      </w:pPr>
      <w:r>
        <w:t>Acceptance</w:t>
      </w:r>
      <w:r>
        <w:rPr>
          <w:spacing w:val="-3"/>
        </w:rPr>
        <w:t xml:space="preserve"> </w:t>
      </w:r>
      <w:r>
        <w:t>Testing</w:t>
      </w:r>
    </w:p>
    <w:p w:rsidR="00180FE5" w:rsidRDefault="006F5BEB">
      <w:pPr>
        <w:spacing w:before="115"/>
        <w:ind w:left="2834" w:right="349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UAT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Execution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Submission</w:t>
      </w:r>
    </w:p>
    <w:p w:rsidR="00180FE5" w:rsidRDefault="00180FE5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7"/>
        <w:gridCol w:w="3829"/>
      </w:tblGrid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</w:t>
            </w:r>
            <w:r w:rsidR="00E917A4">
              <w:rPr>
                <w:rFonts w:ascii="Arial"/>
                <w:b/>
                <w:sz w:val="20"/>
              </w:rPr>
              <w:t>17200</w:t>
            </w:r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180FE5" w:rsidRDefault="00180FE5">
      <w:pPr>
        <w:pStyle w:val="BodyText"/>
        <w:spacing w:before="10"/>
        <w:rPr>
          <w:rFonts w:ascii="Arial"/>
          <w:b/>
          <w:sz w:val="27"/>
        </w:rPr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 w:rsidR="00180FE5" w:rsidRDefault="006F5BEB">
      <w:pPr>
        <w:pStyle w:val="BodyText"/>
        <w:spacing w:before="154"/>
        <w:ind w:left="781"/>
      </w:pPr>
      <w:r>
        <w:t>The</w:t>
      </w:r>
      <w:r>
        <w:rPr>
          <w:spacing w:val="18"/>
        </w:rPr>
        <w:t xml:space="preserve"> </w:t>
      </w:r>
      <w:r>
        <w:t>purpose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document</w:t>
      </w:r>
      <w:r>
        <w:rPr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briefly</w:t>
      </w:r>
      <w:r>
        <w:rPr>
          <w:spacing w:val="20"/>
        </w:rPr>
        <w:t xml:space="preserve"> </w:t>
      </w:r>
      <w:r>
        <w:t>explain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coverage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issues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</w:p>
    <w:p w:rsidR="00180FE5" w:rsidRDefault="006F5BEB">
      <w:pPr>
        <w:spacing w:before="41"/>
        <w:ind w:left="781"/>
        <w:rPr>
          <w:sz w:val="20"/>
        </w:rPr>
      </w:pPr>
      <w:proofErr w:type="gramStart"/>
      <w:r>
        <w:rPr>
          <w:rFonts w:ascii="Arial"/>
          <w:b/>
          <w:sz w:val="20"/>
        </w:rPr>
        <w:t>Customer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Care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Registry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Acceptance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(UAT).</w:t>
      </w:r>
      <w:proofErr w:type="gramEnd"/>
    </w:p>
    <w:p w:rsidR="00180FE5" w:rsidRDefault="00180FE5">
      <w:pPr>
        <w:pStyle w:val="BodyText"/>
        <w:rPr>
          <w:sz w:val="22"/>
        </w:rPr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  <w:spacing w:before="162"/>
      </w:pPr>
      <w:r>
        <w:rPr>
          <w:color w:val="933634"/>
        </w:rPr>
        <w:t>Defect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180FE5" w:rsidRDefault="006F5BEB">
      <w:pPr>
        <w:pStyle w:val="BodyText"/>
        <w:spacing w:before="154" w:line="283" w:lineRule="auto"/>
        <w:ind w:left="781" w:right="743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shows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2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and how</w:t>
      </w:r>
      <w:r>
        <w:rPr>
          <w:spacing w:val="-5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180FE5" w:rsidRDefault="00180FE5">
      <w:pPr>
        <w:pStyle w:val="BodyText"/>
      </w:pPr>
    </w:p>
    <w:p w:rsidR="00180FE5" w:rsidRDefault="00180FE5">
      <w:pPr>
        <w:pStyle w:val="BodyText"/>
        <w:spacing w:before="8"/>
        <w:rPr>
          <w:sz w:val="19"/>
        </w:rPr>
      </w:pP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6"/>
        <w:gridCol w:w="1306"/>
        <w:gridCol w:w="1606"/>
        <w:gridCol w:w="1609"/>
        <w:gridCol w:w="1548"/>
        <w:gridCol w:w="1673"/>
      </w:tblGrid>
      <w:tr w:rsidR="00180FE5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150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01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04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297" w:right="2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73" w:type="dxa"/>
            <w:tcBorders>
              <w:top w:val="nil"/>
              <w:righ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85" w:right="4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Fixed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left="133" w:right="1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left="279" w:right="30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left="281" w:right="30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left="230" w:right="25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left="385" w:right="425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</w:tr>
      <w:tr w:rsidR="00180FE5">
        <w:trPr>
          <w:trHeight w:val="476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Reproduced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spacing w:before="102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spacing w:before="102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spacing w:before="10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spacing w:before="102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2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Skipped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180FE5">
        <w:trPr>
          <w:trHeight w:val="491"/>
        </w:trPr>
        <w:tc>
          <w:tcPr>
            <w:tcW w:w="1916" w:type="dxa"/>
            <w:tcBorders>
              <w:left w:val="nil"/>
              <w:bottom w:val="nil"/>
            </w:tcBorders>
          </w:tcPr>
          <w:p w:rsidR="00180FE5" w:rsidRDefault="006F5BEB">
            <w:pPr>
              <w:pStyle w:val="TableParagraph"/>
              <w:ind w:left="98"/>
              <w:jc w:val="left"/>
              <w:rPr>
                <w:sz w:val="20"/>
              </w:rPr>
            </w:pPr>
            <w:r>
              <w:rPr>
                <w:sz w:val="20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133" w:right="15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79" w:right="30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09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86" w:right="30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48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30" w:right="25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673" w:type="dxa"/>
            <w:tcBorders>
              <w:bottom w:val="nil"/>
              <w:right w:val="nil"/>
            </w:tcBorders>
          </w:tcPr>
          <w:p w:rsidR="00180FE5" w:rsidRDefault="006F5BEB">
            <w:pPr>
              <w:pStyle w:val="TableParagraph"/>
              <w:ind w:left="385" w:right="416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</w:tr>
    </w:tbl>
    <w:p w:rsidR="00180FE5" w:rsidRDefault="00180FE5">
      <w:pPr>
        <w:pStyle w:val="BodyText"/>
      </w:pPr>
    </w:p>
    <w:p w:rsidR="00180FE5" w:rsidRDefault="00180FE5">
      <w:pPr>
        <w:pStyle w:val="BodyText"/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  <w:spacing w:before="233"/>
      </w:pPr>
      <w:r>
        <w:rPr>
          <w:color w:val="933634"/>
        </w:rPr>
        <w:t>Test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Analysis</w:t>
      </w:r>
    </w:p>
    <w:p w:rsidR="00180FE5" w:rsidRDefault="006F5BEB">
      <w:pPr>
        <w:pStyle w:val="BodyText"/>
        <w:spacing w:before="154"/>
        <w:ind w:left="795"/>
      </w:pP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p w:rsidR="00180FE5" w:rsidRDefault="00180FE5">
      <w:pPr>
        <w:pStyle w:val="BodyText"/>
      </w:pPr>
    </w:p>
    <w:p w:rsidR="00180FE5" w:rsidRDefault="00180FE5">
      <w:pPr>
        <w:pStyle w:val="BodyText"/>
        <w:spacing w:before="6"/>
        <w:rPr>
          <w:sz w:val="19"/>
        </w:rPr>
      </w:pP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6"/>
        <w:gridCol w:w="1440"/>
        <w:gridCol w:w="886"/>
        <w:gridCol w:w="761"/>
      </w:tblGrid>
      <w:tr w:rsidR="00180FE5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52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6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236" w:righ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04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5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Client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5"/>
              <w:ind w:left="142" w:right="16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5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5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5"/>
              <w:ind w:left="86" w:right="139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5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5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5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5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5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7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Exception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Reporting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7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7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7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7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80FE5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7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7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7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7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7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6F5BEB" w:rsidRDefault="006F5BEB"/>
    <w:sectPr w:rsidR="006F5BEB" w:rsidSect="00180FE5">
      <w:type w:val="continuous"/>
      <w:pgSz w:w="11930" w:h="16860"/>
      <w:pgMar w:top="1360" w:right="70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6995"/>
    <w:multiLevelType w:val="hybridMultilevel"/>
    <w:tmpl w:val="B192D09A"/>
    <w:lvl w:ilvl="0" w:tplc="1DAA4A06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4A04ECCE"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plc="42949618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87ECC8A4"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plc="DC86A2D2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DC6CD27C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6D84E93E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74B6EC02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AACE4E18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0FE5"/>
    <w:rsid w:val="00180FE5"/>
    <w:rsid w:val="006F5BEB"/>
    <w:rsid w:val="00E9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FE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80FE5"/>
    <w:pPr>
      <w:ind w:left="790" w:hanging="36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FE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0FE5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80FE5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2</cp:revision>
  <dcterms:created xsi:type="dcterms:W3CDTF">2022-11-19T03:51:00Z</dcterms:created>
  <dcterms:modified xsi:type="dcterms:W3CDTF">2022-11-19T04:10:00Z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