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79" w:rsidRPr="004B7A86" w:rsidRDefault="004B7A8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 w:rsidRPr="004B7A86">
        <w:rPr>
          <w:rFonts w:ascii="Arial" w:eastAsia="Arial" w:hAnsi="Arial" w:cs="Arial"/>
          <w:b/>
          <w:sz w:val="24"/>
          <w:szCs w:val="24"/>
        </w:rPr>
        <w:t>PROJECT PLANNING PHASE</w:t>
      </w:r>
    </w:p>
    <w:p w:rsidR="00840879" w:rsidRDefault="008408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37"/>
      </w:tblGrid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B292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840879" w:rsidTr="00B00080">
        <w:trPr>
          <w:trHeight w:val="249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</w:t>
            </w:r>
            <w:r w:rsidR="004B7A86">
              <w:rPr>
                <w:rFonts w:ascii="Arial" w:eastAsia="Arial" w:hAnsi="Arial" w:cs="Arial"/>
              </w:rPr>
              <w:t>T2022TMID53703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:rsidR="00840879" w:rsidRDefault="004B7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</w:t>
            </w:r>
            <w:r w:rsidR="00831BD0">
              <w:rPr>
                <w:rFonts w:ascii="Arial" w:eastAsia="Arial" w:hAnsi="Arial" w:cs="Arial"/>
              </w:rPr>
              <w:t>T based Smart crop Protection</w:t>
            </w:r>
            <w:r w:rsidR="00B00080">
              <w:rPr>
                <w:rFonts w:ascii="Arial" w:eastAsia="Arial" w:hAnsi="Arial" w:cs="Arial"/>
              </w:rPr>
              <w:t xml:space="preserve"> System</w:t>
            </w:r>
            <w:r w:rsidR="00831BD0">
              <w:rPr>
                <w:rFonts w:ascii="Arial" w:eastAsia="Arial" w:hAnsi="Arial" w:cs="Arial"/>
              </w:rPr>
              <w:t xml:space="preserve"> for agriculture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40879" w:rsidRDefault="00B00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840879" w:rsidTr="007C28CF">
        <w:trPr>
          <w:trHeight w:val="269"/>
          <w:tblHeader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4B7A86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4B7A86" w:rsidRDefault="004B7A86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moisture, soil and humidity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the IBM IoT platform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Publish Data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 The IBM Cloud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840879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Node-RED flow to receive data from the IBM IoT platform and also use Cloudant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Harshavarshini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Aathiskumar</w:t>
            </w:r>
            <w:proofErr w:type="spellEnd"/>
          </w:p>
          <w:p w:rsidR="004B7A86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</w:t>
            </w:r>
            <w:proofErr w:type="spellEnd"/>
          </w:p>
          <w:p w:rsidR="005B2922" w:rsidRDefault="004B7A86" w:rsidP="004B7A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Harikrishnan</w:t>
            </w:r>
            <w:proofErr w:type="spellEnd"/>
          </w:p>
        </w:tc>
      </w:tr>
    </w:tbl>
    <w:p w:rsidR="00840879" w:rsidRDefault="00840879">
      <w:pPr>
        <w:rPr>
          <w:rFonts w:ascii="Arial" w:eastAsia="Arial" w:hAnsi="Arial" w:cs="Arial"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>
        <w:trPr>
          <w:trHeight w:val="248"/>
          <w:tblHeader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Burndown Chart:</w:t>
      </w:r>
    </w:p>
    <w:p w:rsidR="000F3EDA" w:rsidRPr="001A04BF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1A04BF">
        <w:rPr>
          <w:rFonts w:ascii="Arial" w:eastAsia="Arial" w:hAnsi="Arial" w:cs="Arial"/>
          <w:bCs/>
          <w:color w:val="172B4D"/>
        </w:rPr>
        <w:lastRenderedPageBreak/>
        <w:t>A burndown chart is a graphical representation of work left to do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versus time. </w:t>
      </w:r>
      <w:r w:rsidR="001A04BF" w:rsidRPr="00831BD0">
        <w:rPr>
          <w:rFonts w:ascii="Arial" w:eastAsia="Arial" w:hAnsi="Arial" w:cs="Arial"/>
          <w:bCs/>
          <w:color w:val="172B4D"/>
          <w:vertAlign w:val="subscript"/>
        </w:rPr>
        <w:t>It is often used in agile software development methodologies such as Scrum.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However, burndown charts can be applied to any project containing measurable progress overtime.</w:t>
      </w:r>
    </w:p>
    <w:p w:rsidR="007C28CF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Pr="00831BD0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831BD0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9"/>
    <w:rsid w:val="00035361"/>
    <w:rsid w:val="000F3EDA"/>
    <w:rsid w:val="001A04BF"/>
    <w:rsid w:val="00244534"/>
    <w:rsid w:val="004B7A86"/>
    <w:rsid w:val="00544F8F"/>
    <w:rsid w:val="005B2922"/>
    <w:rsid w:val="007C28CF"/>
    <w:rsid w:val="00831BD0"/>
    <w:rsid w:val="00840879"/>
    <w:rsid w:val="00851BE1"/>
    <w:rsid w:val="009810A5"/>
    <w:rsid w:val="00B00080"/>
    <w:rsid w:val="00DA7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AA451-49AF-4BA7-9160-13C4A0DC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2022-10-31T15:27:00Z</cp:lastPrinted>
  <dcterms:created xsi:type="dcterms:W3CDTF">2022-11-18T06:36:00Z</dcterms:created>
  <dcterms:modified xsi:type="dcterms:W3CDTF">2022-11-18T06:36:00Z</dcterms:modified>
</cp:coreProperties>
</file>