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2829"/>
        <w:tblW w:w="9794" w:type="dxa"/>
        <w:tblLook w:val="04A0"/>
      </w:tblPr>
      <w:tblGrid>
        <w:gridCol w:w="4897"/>
        <w:gridCol w:w="4897"/>
      </w:tblGrid>
      <w:tr w:rsidR="005C47B2" w:rsidTr="00E665E0">
        <w:trPr>
          <w:trHeight w:val="536"/>
        </w:trPr>
        <w:tc>
          <w:tcPr>
            <w:tcW w:w="4897" w:type="dxa"/>
          </w:tcPr>
          <w:p w:rsidR="005C47B2" w:rsidRPr="00E665E0" w:rsidRDefault="005C47B2" w:rsidP="00E665E0">
            <w:pPr>
              <w:rPr>
                <w:b/>
                <w:sz w:val="28"/>
                <w:szCs w:val="28"/>
              </w:rPr>
            </w:pPr>
            <w:r w:rsidRPr="00E665E0">
              <w:rPr>
                <w:b/>
                <w:sz w:val="28"/>
                <w:szCs w:val="28"/>
              </w:rPr>
              <w:t>DATE</w:t>
            </w:r>
          </w:p>
        </w:tc>
        <w:tc>
          <w:tcPr>
            <w:tcW w:w="4897" w:type="dxa"/>
          </w:tcPr>
          <w:p w:rsidR="005C47B2" w:rsidRDefault="005C47B2" w:rsidP="00E665E0">
            <w:r>
              <w:t>24 September 2022</w:t>
            </w:r>
          </w:p>
        </w:tc>
      </w:tr>
      <w:tr w:rsidR="005C47B2" w:rsidTr="00E665E0">
        <w:trPr>
          <w:trHeight w:val="502"/>
        </w:trPr>
        <w:tc>
          <w:tcPr>
            <w:tcW w:w="4897" w:type="dxa"/>
          </w:tcPr>
          <w:p w:rsidR="005C47B2" w:rsidRPr="00E665E0" w:rsidRDefault="005C47B2" w:rsidP="00E665E0">
            <w:pPr>
              <w:rPr>
                <w:b/>
                <w:sz w:val="28"/>
                <w:szCs w:val="28"/>
              </w:rPr>
            </w:pPr>
            <w:r w:rsidRPr="00E665E0">
              <w:rPr>
                <w:b/>
                <w:sz w:val="28"/>
                <w:szCs w:val="28"/>
              </w:rPr>
              <w:t>TEAM ID</w:t>
            </w:r>
          </w:p>
        </w:tc>
        <w:tc>
          <w:tcPr>
            <w:tcW w:w="4897" w:type="dxa"/>
          </w:tcPr>
          <w:p w:rsidR="005C47B2" w:rsidRDefault="005C47B2" w:rsidP="00E665E0">
            <w:r>
              <w:t>PNT2022TMID23164</w:t>
            </w:r>
          </w:p>
        </w:tc>
      </w:tr>
      <w:tr w:rsidR="005C47B2" w:rsidTr="00E665E0">
        <w:trPr>
          <w:trHeight w:val="536"/>
        </w:trPr>
        <w:tc>
          <w:tcPr>
            <w:tcW w:w="4897" w:type="dxa"/>
          </w:tcPr>
          <w:p w:rsidR="005C47B2" w:rsidRPr="00E665E0" w:rsidRDefault="005C47B2" w:rsidP="00E665E0">
            <w:pPr>
              <w:rPr>
                <w:b/>
                <w:sz w:val="28"/>
                <w:szCs w:val="28"/>
              </w:rPr>
            </w:pPr>
            <w:r w:rsidRPr="00E665E0">
              <w:rPr>
                <w:b/>
                <w:sz w:val="28"/>
                <w:szCs w:val="28"/>
              </w:rPr>
              <w:t>PROJECT NAME</w:t>
            </w:r>
          </w:p>
        </w:tc>
        <w:tc>
          <w:tcPr>
            <w:tcW w:w="4897" w:type="dxa"/>
          </w:tcPr>
          <w:p w:rsidR="005C47B2" w:rsidRDefault="00E665E0" w:rsidP="00E665E0">
            <w:r>
              <w:t xml:space="preserve">Signs with Smart Connectivity for Better Road Safety </w:t>
            </w:r>
          </w:p>
        </w:tc>
      </w:tr>
    </w:tbl>
    <w:tbl>
      <w:tblPr>
        <w:tblStyle w:val="TableGrid"/>
        <w:tblpPr w:leftFromText="180" w:rightFromText="180" w:vertAnchor="text" w:horzAnchor="margin" w:tblpY="4212"/>
        <w:tblOverlap w:val="never"/>
        <w:tblW w:w="10020" w:type="dxa"/>
        <w:tblLook w:val="04A0"/>
      </w:tblPr>
      <w:tblGrid>
        <w:gridCol w:w="1068"/>
        <w:gridCol w:w="3319"/>
        <w:gridCol w:w="5633"/>
      </w:tblGrid>
      <w:tr w:rsidR="00EF3CD7" w:rsidTr="00E665E0">
        <w:trPr>
          <w:trHeight w:val="526"/>
        </w:trPr>
        <w:tc>
          <w:tcPr>
            <w:tcW w:w="1068" w:type="dxa"/>
          </w:tcPr>
          <w:p w:rsidR="005C47B2" w:rsidRPr="00E665E0" w:rsidRDefault="00E665E0" w:rsidP="00E665E0">
            <w:pPr>
              <w:rPr>
                <w:b/>
                <w:sz w:val="44"/>
                <w:szCs w:val="44"/>
              </w:rPr>
            </w:pPr>
            <w:r>
              <w:rPr>
                <w:b/>
                <w:noProof/>
                <w:sz w:val="44"/>
                <w:szCs w:val="44"/>
              </w:rPr>
              <w:pict>
                <v:shapetype id="_x0000_t202" coordsize="21600,21600" o:spt="202" path="m,l,21600r21600,l21600,xe">
                  <v:stroke joinstyle="miter"/>
                  <v:path gradientshapeok="t" o:connecttype="rect"/>
                </v:shapetype>
                <v:shape id="_x0000_s1026" type="#_x0000_t202" style="position:absolute;margin-left:-8.35pt;margin-top:-217.6pt;width:488.9pt;height:84.6pt;z-index:251658240;mso-position-horizontal-relative:text;mso-position-vertical-relative:text">
                  <v:textbox>
                    <w:txbxContent>
                      <w:p w:rsidR="00E665E0" w:rsidRDefault="00E665E0">
                        <w:pPr>
                          <w:rPr>
                            <w:sz w:val="36"/>
                            <w:szCs w:val="36"/>
                          </w:rPr>
                        </w:pPr>
                        <w:r>
                          <w:rPr>
                            <w:sz w:val="36"/>
                            <w:szCs w:val="36"/>
                          </w:rPr>
                          <w:t xml:space="preserve">                           PROJECT DESIGN PHASE-1</w:t>
                        </w:r>
                      </w:p>
                      <w:p w:rsidR="00E665E0" w:rsidRPr="00E665E0" w:rsidRDefault="00E665E0">
                        <w:pPr>
                          <w:rPr>
                            <w:sz w:val="36"/>
                            <w:szCs w:val="36"/>
                          </w:rPr>
                        </w:pPr>
                        <w:r>
                          <w:rPr>
                            <w:sz w:val="36"/>
                            <w:szCs w:val="36"/>
                          </w:rPr>
                          <w:t xml:space="preserve">                     PROPOSED SOLUTION TEMPLATE</w:t>
                        </w:r>
                      </w:p>
                    </w:txbxContent>
                  </v:textbox>
                </v:shape>
              </w:pict>
            </w:r>
            <w:proofErr w:type="spellStart"/>
            <w:r w:rsidR="005C47B2" w:rsidRPr="00E665E0">
              <w:rPr>
                <w:b/>
                <w:sz w:val="44"/>
                <w:szCs w:val="44"/>
              </w:rPr>
              <w:t>S.No</w:t>
            </w:r>
            <w:proofErr w:type="spellEnd"/>
          </w:p>
        </w:tc>
        <w:tc>
          <w:tcPr>
            <w:tcW w:w="3319" w:type="dxa"/>
          </w:tcPr>
          <w:p w:rsidR="005C47B2" w:rsidRPr="00E665E0" w:rsidRDefault="005C47B2" w:rsidP="00E665E0">
            <w:pPr>
              <w:rPr>
                <w:b/>
                <w:sz w:val="44"/>
                <w:szCs w:val="44"/>
              </w:rPr>
            </w:pPr>
            <w:r w:rsidRPr="00E665E0">
              <w:rPr>
                <w:b/>
                <w:sz w:val="44"/>
                <w:szCs w:val="44"/>
              </w:rPr>
              <w:t>Parameter</w:t>
            </w:r>
          </w:p>
        </w:tc>
        <w:tc>
          <w:tcPr>
            <w:tcW w:w="5633" w:type="dxa"/>
          </w:tcPr>
          <w:p w:rsidR="005C47B2" w:rsidRPr="00E665E0" w:rsidRDefault="005C47B2" w:rsidP="00E665E0">
            <w:pPr>
              <w:rPr>
                <w:b/>
                <w:sz w:val="44"/>
                <w:szCs w:val="44"/>
              </w:rPr>
            </w:pPr>
            <w:r w:rsidRPr="00E665E0">
              <w:rPr>
                <w:b/>
                <w:sz w:val="44"/>
                <w:szCs w:val="44"/>
              </w:rPr>
              <w:t>Description</w:t>
            </w:r>
          </w:p>
        </w:tc>
      </w:tr>
      <w:tr w:rsidR="00EF3CD7" w:rsidTr="00E665E0">
        <w:trPr>
          <w:trHeight w:val="1429"/>
        </w:trPr>
        <w:tc>
          <w:tcPr>
            <w:tcW w:w="1068" w:type="dxa"/>
          </w:tcPr>
          <w:p w:rsidR="005C47B2" w:rsidRDefault="005C47B2" w:rsidP="00E665E0">
            <w:r>
              <w:t>1.</w:t>
            </w:r>
          </w:p>
        </w:tc>
        <w:tc>
          <w:tcPr>
            <w:tcW w:w="3319" w:type="dxa"/>
          </w:tcPr>
          <w:p w:rsidR="005C47B2" w:rsidRPr="00E665E0" w:rsidRDefault="00EF3CD7" w:rsidP="00E665E0">
            <w:pPr>
              <w:rPr>
                <w:sz w:val="28"/>
                <w:szCs w:val="28"/>
              </w:rPr>
            </w:pPr>
            <w:r w:rsidRPr="00E665E0">
              <w:rPr>
                <w:sz w:val="28"/>
                <w:szCs w:val="28"/>
              </w:rPr>
              <w:t>Problem statement (Problem to be solved)</w:t>
            </w:r>
          </w:p>
        </w:tc>
        <w:tc>
          <w:tcPr>
            <w:tcW w:w="5633" w:type="dxa"/>
          </w:tcPr>
          <w:p w:rsidR="005C47B2" w:rsidRPr="00E665E0" w:rsidRDefault="002C201C" w:rsidP="00E665E0">
            <w:pPr>
              <w:rPr>
                <w:sz w:val="28"/>
                <w:szCs w:val="28"/>
              </w:rPr>
            </w:pPr>
            <w:r w:rsidRPr="00E665E0">
              <w:rPr>
                <w:sz w:val="28"/>
                <w:szCs w:val="28"/>
              </w:rPr>
              <w:t xml:space="preserve">Helmets are the first line of </w:t>
            </w:r>
            <w:proofErr w:type="spellStart"/>
            <w:r w:rsidRPr="00E665E0">
              <w:rPr>
                <w:sz w:val="28"/>
                <w:szCs w:val="28"/>
              </w:rPr>
              <w:t>defence</w:t>
            </w:r>
            <w:proofErr w:type="spellEnd"/>
            <w:r w:rsidRPr="00E665E0">
              <w:rPr>
                <w:sz w:val="28"/>
                <w:szCs w:val="28"/>
              </w:rPr>
              <w:t xml:space="preserve"> against injuries due to accidents for motorists.</w:t>
            </w:r>
          </w:p>
        </w:tc>
      </w:tr>
      <w:tr w:rsidR="00EF3CD7" w:rsidTr="00E665E0">
        <w:trPr>
          <w:trHeight w:val="1526"/>
        </w:trPr>
        <w:tc>
          <w:tcPr>
            <w:tcW w:w="1068" w:type="dxa"/>
          </w:tcPr>
          <w:p w:rsidR="005C47B2" w:rsidRDefault="005C47B2" w:rsidP="00E665E0">
            <w:r>
              <w:t>2.</w:t>
            </w:r>
          </w:p>
        </w:tc>
        <w:tc>
          <w:tcPr>
            <w:tcW w:w="3319" w:type="dxa"/>
          </w:tcPr>
          <w:p w:rsidR="005C47B2" w:rsidRPr="00E665E0" w:rsidRDefault="00EF3CD7" w:rsidP="00E665E0">
            <w:pPr>
              <w:rPr>
                <w:sz w:val="28"/>
                <w:szCs w:val="28"/>
              </w:rPr>
            </w:pPr>
            <w:r w:rsidRPr="00E665E0">
              <w:rPr>
                <w:sz w:val="28"/>
                <w:szCs w:val="28"/>
              </w:rPr>
              <w:t>Idea/ Solution description</w:t>
            </w:r>
          </w:p>
        </w:tc>
        <w:tc>
          <w:tcPr>
            <w:tcW w:w="5633" w:type="dxa"/>
          </w:tcPr>
          <w:p w:rsidR="005C47B2" w:rsidRPr="00E665E0" w:rsidRDefault="002C201C" w:rsidP="00E665E0">
            <w:pPr>
              <w:rPr>
                <w:sz w:val="28"/>
                <w:szCs w:val="28"/>
              </w:rPr>
            </w:pPr>
            <w:r w:rsidRPr="00E665E0">
              <w:rPr>
                <w:sz w:val="28"/>
                <w:szCs w:val="28"/>
              </w:rPr>
              <w:t xml:space="preserve">Reduced negative health impacts on society by meeting international environmental standards to control the level of air pollution as a direct result of vehicle emissions.  Implement road </w:t>
            </w:r>
            <w:r w:rsidR="00F93081" w:rsidRPr="00E665E0">
              <w:rPr>
                <w:sz w:val="28"/>
                <w:szCs w:val="28"/>
              </w:rPr>
              <w:t>transport and traffic solutions faster by learning from best practices and experiences from other transport advisory projects to avoid reinventing the wheel.</w:t>
            </w:r>
          </w:p>
        </w:tc>
      </w:tr>
      <w:tr w:rsidR="00EF3CD7" w:rsidTr="00E665E0">
        <w:trPr>
          <w:trHeight w:val="1429"/>
        </w:trPr>
        <w:tc>
          <w:tcPr>
            <w:tcW w:w="1068" w:type="dxa"/>
          </w:tcPr>
          <w:p w:rsidR="005C47B2" w:rsidRDefault="005C47B2" w:rsidP="00E665E0">
            <w:r>
              <w:t>3.</w:t>
            </w:r>
          </w:p>
        </w:tc>
        <w:tc>
          <w:tcPr>
            <w:tcW w:w="3319" w:type="dxa"/>
          </w:tcPr>
          <w:p w:rsidR="005C47B2" w:rsidRPr="00E665E0" w:rsidRDefault="005C47B2" w:rsidP="00E665E0">
            <w:pPr>
              <w:rPr>
                <w:sz w:val="28"/>
                <w:szCs w:val="28"/>
              </w:rPr>
            </w:pPr>
            <w:r w:rsidRPr="00E665E0">
              <w:rPr>
                <w:sz w:val="28"/>
                <w:szCs w:val="28"/>
              </w:rPr>
              <w:t>Novelty/Uniqueness</w:t>
            </w:r>
          </w:p>
        </w:tc>
        <w:tc>
          <w:tcPr>
            <w:tcW w:w="5633" w:type="dxa"/>
          </w:tcPr>
          <w:p w:rsidR="005C47B2" w:rsidRPr="00E665E0" w:rsidRDefault="00D90A06" w:rsidP="00E665E0">
            <w:pPr>
              <w:rPr>
                <w:sz w:val="28"/>
                <w:szCs w:val="28"/>
              </w:rPr>
            </w:pPr>
            <w:r w:rsidRPr="00E665E0">
              <w:rPr>
                <w:rFonts w:ascii="Arial" w:hAnsi="Arial" w:cs="Arial"/>
                <w:color w:val="202124"/>
                <w:sz w:val="28"/>
                <w:szCs w:val="28"/>
                <w:shd w:val="clear" w:color="auto" w:fill="FFFFFF"/>
              </w:rPr>
              <w:t>Roads should be designed for the safety of all road users. This means ensuring adequate facilities for pedestrians, cyclists and motorcyclists. Measures such as </w:t>
            </w:r>
            <w:r w:rsidRPr="00E665E0">
              <w:rPr>
                <w:rFonts w:ascii="Arial" w:hAnsi="Arial" w:cs="Arial"/>
                <w:bCs/>
                <w:color w:val="202124"/>
                <w:sz w:val="28"/>
                <w:szCs w:val="28"/>
                <w:shd w:val="clear" w:color="auto" w:fill="FFFFFF"/>
              </w:rPr>
              <w:t>footpaths, cycling lanes, safe crossing points and traffic calming measures</w:t>
            </w:r>
            <w:r w:rsidRPr="00E665E0">
              <w:rPr>
                <w:rFonts w:ascii="Arial" w:hAnsi="Arial" w:cs="Arial"/>
                <w:color w:val="202124"/>
                <w:sz w:val="28"/>
                <w:szCs w:val="28"/>
                <w:shd w:val="clear" w:color="auto" w:fill="FFFFFF"/>
              </w:rPr>
              <w:t> are critical to reducing the risk of injury among these road users.</w:t>
            </w:r>
          </w:p>
        </w:tc>
      </w:tr>
      <w:tr w:rsidR="00EF3CD7" w:rsidTr="00E665E0">
        <w:trPr>
          <w:trHeight w:val="1526"/>
        </w:trPr>
        <w:tc>
          <w:tcPr>
            <w:tcW w:w="1068" w:type="dxa"/>
          </w:tcPr>
          <w:p w:rsidR="005C47B2" w:rsidRDefault="005C47B2" w:rsidP="00E665E0">
            <w:r>
              <w:lastRenderedPageBreak/>
              <w:t>4.</w:t>
            </w:r>
          </w:p>
        </w:tc>
        <w:tc>
          <w:tcPr>
            <w:tcW w:w="3319" w:type="dxa"/>
          </w:tcPr>
          <w:p w:rsidR="005C47B2" w:rsidRPr="00E665E0" w:rsidRDefault="005C47B2" w:rsidP="00E665E0">
            <w:pPr>
              <w:rPr>
                <w:sz w:val="28"/>
                <w:szCs w:val="28"/>
              </w:rPr>
            </w:pPr>
            <w:r w:rsidRPr="00E665E0">
              <w:rPr>
                <w:sz w:val="28"/>
                <w:szCs w:val="28"/>
              </w:rPr>
              <w:t>Social Impact/Customer Satisfaction</w:t>
            </w:r>
          </w:p>
        </w:tc>
        <w:tc>
          <w:tcPr>
            <w:tcW w:w="5633" w:type="dxa"/>
          </w:tcPr>
          <w:p w:rsidR="005C47B2" w:rsidRPr="00E665E0" w:rsidRDefault="00D90A06" w:rsidP="00E665E0">
            <w:pPr>
              <w:rPr>
                <w:sz w:val="28"/>
                <w:szCs w:val="28"/>
              </w:rPr>
            </w:pPr>
            <w:r w:rsidRPr="00E665E0">
              <w:rPr>
                <w:rFonts w:ascii="Arial" w:hAnsi="Arial" w:cs="Arial"/>
                <w:color w:val="202124"/>
                <w:sz w:val="28"/>
                <w:szCs w:val="28"/>
                <w:shd w:val="clear" w:color="auto" w:fill="FFFFFF"/>
              </w:rPr>
              <w:t>The social consequences of road traffic accidents include </w:t>
            </w:r>
            <w:r w:rsidRPr="00E665E0">
              <w:rPr>
                <w:rFonts w:ascii="Arial" w:hAnsi="Arial" w:cs="Arial"/>
                <w:bCs/>
                <w:color w:val="202124"/>
                <w:sz w:val="28"/>
                <w:szCs w:val="28"/>
                <w:shd w:val="clear" w:color="auto" w:fill="FFFFFF"/>
              </w:rPr>
              <w:t>loss of productivity of the victims, the cost of the legal system, the cost of pain and suffering and loss of quality of life of the victim and their family</w:t>
            </w:r>
            <w:r w:rsidRPr="00E665E0">
              <w:rPr>
                <w:rFonts w:ascii="Arial" w:hAnsi="Arial" w:cs="Arial"/>
                <w:color w:val="202124"/>
                <w:sz w:val="28"/>
                <w:szCs w:val="28"/>
                <w:shd w:val="clear" w:color="auto" w:fill="FFFFFF"/>
              </w:rPr>
              <w:t>. The loss of productivity represents a significant proportion of the total social costs</w:t>
            </w:r>
          </w:p>
        </w:tc>
      </w:tr>
      <w:tr w:rsidR="00EF3CD7" w:rsidTr="00E665E0">
        <w:trPr>
          <w:trHeight w:val="1429"/>
        </w:trPr>
        <w:tc>
          <w:tcPr>
            <w:tcW w:w="1068" w:type="dxa"/>
          </w:tcPr>
          <w:p w:rsidR="005C47B2" w:rsidRDefault="005C47B2" w:rsidP="00E665E0">
            <w:r>
              <w:t>5.</w:t>
            </w:r>
          </w:p>
        </w:tc>
        <w:tc>
          <w:tcPr>
            <w:tcW w:w="3319" w:type="dxa"/>
          </w:tcPr>
          <w:p w:rsidR="005C47B2" w:rsidRPr="00E665E0" w:rsidRDefault="005C47B2" w:rsidP="00E665E0">
            <w:pPr>
              <w:rPr>
                <w:sz w:val="28"/>
                <w:szCs w:val="28"/>
              </w:rPr>
            </w:pPr>
            <w:r w:rsidRPr="00E665E0">
              <w:rPr>
                <w:sz w:val="28"/>
                <w:szCs w:val="28"/>
              </w:rPr>
              <w:t>Business Model(Revenue Model)</w:t>
            </w:r>
          </w:p>
        </w:tc>
        <w:tc>
          <w:tcPr>
            <w:tcW w:w="5633" w:type="dxa"/>
          </w:tcPr>
          <w:p w:rsidR="005C47B2" w:rsidRPr="00E665E0" w:rsidRDefault="00F93081" w:rsidP="00E665E0">
            <w:pPr>
              <w:rPr>
                <w:sz w:val="28"/>
                <w:szCs w:val="28"/>
              </w:rPr>
            </w:pPr>
            <w:r w:rsidRPr="00E665E0">
              <w:rPr>
                <w:sz w:val="28"/>
                <w:szCs w:val="28"/>
              </w:rPr>
              <w:t xml:space="preserve">The Trans-European North-South </w:t>
            </w:r>
            <w:proofErr w:type="gramStart"/>
            <w:r w:rsidRPr="00E665E0">
              <w:rPr>
                <w:sz w:val="28"/>
                <w:szCs w:val="28"/>
              </w:rPr>
              <w:t>Motorway(</w:t>
            </w:r>
            <w:proofErr w:type="gramEnd"/>
            <w:r w:rsidRPr="00E665E0">
              <w:rPr>
                <w:sz w:val="28"/>
                <w:szCs w:val="28"/>
              </w:rPr>
              <w:t>TEM) Project was initiated to facilitate road traffic in central, Eastern and to assist with the process of integrating European transport infrastructure.  The business models cover all relevant activities of road authorities from appropriate understanding of customer and stakeholders needs and expectations to aligning the value proposition with key internal processes and resources</w:t>
            </w:r>
          </w:p>
        </w:tc>
      </w:tr>
      <w:tr w:rsidR="00EF3CD7" w:rsidTr="00E665E0">
        <w:trPr>
          <w:trHeight w:val="1526"/>
        </w:trPr>
        <w:tc>
          <w:tcPr>
            <w:tcW w:w="1068" w:type="dxa"/>
          </w:tcPr>
          <w:p w:rsidR="005C47B2" w:rsidRDefault="005C47B2" w:rsidP="00E665E0">
            <w:r>
              <w:t>6.</w:t>
            </w:r>
          </w:p>
        </w:tc>
        <w:tc>
          <w:tcPr>
            <w:tcW w:w="3319" w:type="dxa"/>
          </w:tcPr>
          <w:p w:rsidR="005C47B2" w:rsidRPr="00E665E0" w:rsidRDefault="005C47B2" w:rsidP="00E665E0">
            <w:pPr>
              <w:rPr>
                <w:sz w:val="28"/>
                <w:szCs w:val="28"/>
              </w:rPr>
            </w:pPr>
            <w:r w:rsidRPr="00E665E0">
              <w:rPr>
                <w:sz w:val="28"/>
                <w:szCs w:val="28"/>
              </w:rPr>
              <w:t>Scalability of the solution</w:t>
            </w:r>
          </w:p>
        </w:tc>
        <w:tc>
          <w:tcPr>
            <w:tcW w:w="5633" w:type="dxa"/>
          </w:tcPr>
          <w:p w:rsidR="005C47B2" w:rsidRPr="00E665E0" w:rsidRDefault="00D90A06" w:rsidP="00E665E0">
            <w:pPr>
              <w:rPr>
                <w:sz w:val="28"/>
                <w:szCs w:val="28"/>
              </w:rPr>
            </w:pPr>
            <w:r w:rsidRPr="00E665E0">
              <w:rPr>
                <w:rFonts w:ascii="Arial" w:hAnsi="Arial" w:cs="Arial"/>
                <w:color w:val="202124"/>
                <w:sz w:val="28"/>
                <w:szCs w:val="28"/>
                <w:shd w:val="clear" w:color="auto" w:fill="FFFFFF"/>
              </w:rPr>
              <w:t xml:space="preserve">Several factors most notably: speed, traffic density, flow, congestion, demographics (namely age gender and deprivation), driving </w:t>
            </w:r>
            <w:proofErr w:type="spellStart"/>
            <w:r w:rsidRPr="00E665E0">
              <w:rPr>
                <w:rFonts w:ascii="Arial" w:hAnsi="Arial" w:cs="Arial"/>
                <w:color w:val="202124"/>
                <w:sz w:val="28"/>
                <w:szCs w:val="28"/>
                <w:shd w:val="clear" w:color="auto" w:fill="FFFFFF"/>
              </w:rPr>
              <w:t>behaviour</w:t>
            </w:r>
            <w:proofErr w:type="spellEnd"/>
            <w:r w:rsidRPr="00E665E0">
              <w:rPr>
                <w:rFonts w:ascii="Arial" w:hAnsi="Arial" w:cs="Arial"/>
                <w:color w:val="202124"/>
                <w:sz w:val="28"/>
                <w:szCs w:val="28"/>
                <w:shd w:val="clear" w:color="auto" w:fill="FFFFFF"/>
              </w:rPr>
              <w:t xml:space="preserve"> (involving alcohol consumption, helmet or seat belt usage) and land use, such as residential or economic zones, were found to have mixed effects on road safety </w:t>
            </w:r>
          </w:p>
        </w:tc>
      </w:tr>
    </w:tbl>
    <w:p w:rsidR="008C5CE6" w:rsidRDefault="008C5CE6"/>
    <w:sectPr w:rsidR="008C5CE6" w:rsidSect="008C5C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C47B2"/>
    <w:rsid w:val="002C201C"/>
    <w:rsid w:val="005C47B2"/>
    <w:rsid w:val="0075633D"/>
    <w:rsid w:val="008C5CE6"/>
    <w:rsid w:val="00D90A06"/>
    <w:rsid w:val="00E665E0"/>
    <w:rsid w:val="00EF3CD7"/>
    <w:rsid w:val="00F930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C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7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2022-09-24T14:17:00Z</dcterms:created>
  <dcterms:modified xsi:type="dcterms:W3CDTF">2022-09-24T15:19:00Z</dcterms:modified>
</cp:coreProperties>
</file>